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29.jpg" ContentType="image/jpeg"/>
  <Override PartName="/word/media/rId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2024-09-02</w:t>
      </w:r>
    </w:p>
    <w:p>
      <w:pPr>
        <w:pStyle w:val="AbstractTitle"/>
      </w:pPr>
      <w:r>
        <w:t xml:space="preserve">Abstract</w:t>
      </w:r>
    </w:p>
    <w:p>
      <w:pPr>
        <w:pStyle w:val="Abstract"/>
      </w:pPr>
      <w:r>
        <w:t xml:space="preserve">We</w:t>
      </w:r>
      <w:r>
        <w:t xml:space="preserve"> </w:t>
      </w:r>
      <w:r>
        <w:t xml:space="preserve">evaluated</w:t>
      </w:r>
      <w:r>
        <w:t xml:space="preserve"> </w:t>
      </w:r>
      <w:r>
        <w:t xml:space="preserve">the</w:t>
      </w:r>
      <w:r>
        <w:t xml:space="preserve"> </w:t>
      </w:r>
      <w:r>
        <w:t xml:space="preserve">performance</w:t>
      </w:r>
      <w:r>
        <w:t xml:space="preserve"> </w:t>
      </w:r>
      <w:r>
        <w:t xml:space="preserve">of</w:t>
      </w:r>
      <w:r>
        <w:t xml:space="preserve"> </w:t>
      </w:r>
      <w:r>
        <w:t xml:space="preserve">a</w:t>
      </w:r>
      <w:r>
        <w:t xml:space="preserve"> </w:t>
      </w:r>
      <w:r>
        <w:t xml:space="preserve">model</w:t>
      </w:r>
      <w:r>
        <w:t xml:space="preserve"> </w:t>
      </w:r>
      <w:r>
        <w:t xml:space="preserve">predicting</w:t>
      </w:r>
      <w:r>
        <w:t xml:space="preserve"> </w:t>
      </w:r>
      <w:r>
        <w:t xml:space="preserve">immediate</w:t>
      </w:r>
      <w:r>
        <w:t xml:space="preserve"> </w:t>
      </w:r>
      <w:r>
        <w:t xml:space="preserve">alcohol</w:t>
      </w:r>
      <w:r>
        <w:t xml:space="preserve"> </w:t>
      </w:r>
      <w:r>
        <w:t xml:space="preserve">lapses</w:t>
      </w:r>
      <w:r>
        <w:t xml:space="preserve"> </w:t>
      </w:r>
      <w:r>
        <w:t xml:space="preserve">and</w:t>
      </w:r>
      <w:r>
        <w:t xml:space="preserve"> </w:t>
      </w:r>
      <w:r>
        <w:t xml:space="preserve">models</w:t>
      </w:r>
      <w:r>
        <w:t xml:space="preserve"> </w:t>
      </w:r>
      <w:r>
        <w:t xml:space="preserve">with</w:t>
      </w:r>
      <w:r>
        <w:t xml:space="preserve"> </w:t>
      </w:r>
      <w:r>
        <w:t xml:space="preserve">increasing</w:t>
      </w:r>
      <w:r>
        <w:t xml:space="preserve"> </w:t>
      </w:r>
      <w:r>
        <w:t xml:space="preserve">lag</w:t>
      </w:r>
      <w:r>
        <w:t xml:space="preserve"> </w:t>
      </w:r>
      <w:r>
        <w:t xml:space="preserve">time</w:t>
      </w:r>
      <w:r>
        <w:t xml:space="preserve"> </w:t>
      </w:r>
      <w:r>
        <w:t xml:space="preserve">between</w:t>
      </w:r>
      <w:r>
        <w:t xml:space="preserve"> </w:t>
      </w:r>
      <w:r>
        <w:t xml:space="preserve">the</w:t>
      </w:r>
      <w:r>
        <w:t xml:space="preserve"> </w:t>
      </w:r>
      <w:r>
        <w:t xml:space="preserve">prediction</w:t>
      </w:r>
      <w:r>
        <w:t xml:space="preserve"> </w:t>
      </w:r>
      <w:r>
        <w:t xml:space="preserve">time</w:t>
      </w:r>
      <w:r>
        <w:t xml:space="preserve"> </w:t>
      </w:r>
      <w:r>
        <w:t xml:space="preserve">points</w:t>
      </w:r>
      <w:r>
        <w:t xml:space="preserve"> </w:t>
      </w:r>
      <w:r>
        <w:t xml:space="preserve">and</w:t>
      </w:r>
      <w:r>
        <w:t xml:space="preserve"> </w:t>
      </w:r>
      <w:r>
        <w:t xml:space="preserve">start</w:t>
      </w:r>
      <w:r>
        <w:t xml:space="preserve"> </w:t>
      </w:r>
      <w:r>
        <w:t xml:space="preserve">of</w:t>
      </w:r>
      <w:r>
        <w:t xml:space="preserve"> </w:t>
      </w:r>
      <w:r>
        <w:t xml:space="preserve">the</w:t>
      </w:r>
      <w:r>
        <w:t xml:space="preserve"> </w:t>
      </w:r>
      <w:r>
        <w:t xml:space="preserve">prediction</w:t>
      </w:r>
      <w:r>
        <w:t xml:space="preserve"> </w:t>
      </w:r>
      <w:r>
        <w:t xml:space="preserve">window</w:t>
      </w:r>
      <w:r>
        <w:t xml:space="preserve"> </w:t>
      </w:r>
      <w:r>
        <w:t xml:space="preserve">(24,</w:t>
      </w:r>
      <w:r>
        <w:t xml:space="preserve"> </w:t>
      </w:r>
      <w:r>
        <w:t xml:space="preserve">72,</w:t>
      </w:r>
      <w:r>
        <w:t xml:space="preserve"> </w:t>
      </w:r>
      <w:r>
        <w:t xml:space="preserve">168,</w:t>
      </w:r>
      <w:r>
        <w:t xml:space="preserve"> </w:t>
      </w:r>
      <w:r>
        <w:t xml:space="preserve">or</w:t>
      </w:r>
      <w:r>
        <w:t xml:space="preserve"> </w:t>
      </w:r>
      <w:r>
        <w:t xml:space="preserve">336</w:t>
      </w:r>
      <w:r>
        <w:t xml:space="preserve"> </w:t>
      </w:r>
      <w:r>
        <w:t xml:space="preserve">hour</w:t>
      </w:r>
      <w:r>
        <w:t xml:space="preserve"> </w:t>
      </w:r>
      <w:r>
        <w:t xml:space="preserve">lag).</w:t>
      </w:r>
      <w:r>
        <w:t xml:space="preserve"> </w:t>
      </w:r>
      <w:r>
        <w:t xml:space="preserve">Model</w:t>
      </w:r>
      <w:r>
        <w:t xml:space="preserve"> </w:t>
      </w:r>
      <w:r>
        <w:t xml:space="preserve">features</w:t>
      </w:r>
      <w:r>
        <w:t xml:space="preserve"> </w:t>
      </w:r>
      <w:r>
        <w:t xml:space="preserve">were</w:t>
      </w:r>
      <w:r>
        <w:t xml:space="preserve"> </w:t>
      </w:r>
      <w:r>
        <w:t xml:space="preserve">engineered</w:t>
      </w:r>
      <w:r>
        <w:t xml:space="preserve"> </w:t>
      </w:r>
      <w:r>
        <w:t xml:space="preserve">from</w:t>
      </w:r>
      <w:r>
        <w:t xml:space="preserve"> </w:t>
      </w:r>
      <w:r>
        <w:t xml:space="preserve">4x</w:t>
      </w:r>
      <w:r>
        <w:t xml:space="preserve"> </w:t>
      </w:r>
      <w:r>
        <w:t xml:space="preserve">daily</w:t>
      </w:r>
      <w:r>
        <w:t xml:space="preserve"> </w:t>
      </w:r>
      <w:r>
        <w:t xml:space="preserve">ecological</w:t>
      </w:r>
      <w:r>
        <w:t xml:space="preserve"> </w:t>
      </w:r>
      <w:r>
        <w:t xml:space="preserve">momentary</w:t>
      </w:r>
      <w:r>
        <w:t xml:space="preserve"> </w:t>
      </w:r>
      <w:r>
        <w:t xml:space="preserve">assessment.</w:t>
      </w:r>
      <w:r>
        <w:t xml:space="preserve"> </w:t>
      </w:r>
      <w:r>
        <w:t xml:space="preserve">Participants</w:t>
      </w:r>
      <w:r>
        <w:t xml:space="preserve"> </w:t>
      </w:r>
      <w:r>
        <w:t xml:space="preserve">(N</w:t>
      </w:r>
      <w:r>
        <w:t xml:space="preserve"> </w:t>
      </w:r>
      <w:r>
        <w:t xml:space="preserve">=151;</w:t>
      </w:r>
      <w:r>
        <w:t xml:space="preserve"> </w:t>
      </w:r>
      <w:r>
        <w:t xml:space="preserve">51%</w:t>
      </w:r>
      <w:r>
        <w:t xml:space="preserve"> </w:t>
      </w:r>
      <w:r>
        <w:t xml:space="preserve">male;</w:t>
      </w:r>
      <w:r>
        <w:t xml:space="preserve"> </w:t>
      </w:r>
      <w:r>
        <w:t xml:space="preserve">mean</w:t>
      </w:r>
      <w:r>
        <w:t xml:space="preserve"> </w:t>
      </w:r>
      <w:r>
        <w:t xml:space="preserve">age=</w:t>
      </w:r>
      <w:r>
        <w:t xml:space="preserve"> </w:t>
      </w:r>
      <w:r>
        <w:t xml:space="preserve">41;</w:t>
      </w:r>
      <w:r>
        <w:t xml:space="preserve"> </w:t>
      </w:r>
      <w:r>
        <w:t xml:space="preserve">87%</w:t>
      </w:r>
      <w:r>
        <w:t xml:space="preserve"> </w:t>
      </w:r>
      <w:r>
        <w:t xml:space="preserve">White,</w:t>
      </w:r>
      <w:r>
        <w:t xml:space="preserve"> </w:t>
      </w:r>
      <w:r>
        <w:t xml:space="preserve">97%</w:t>
      </w:r>
      <w:r>
        <w:t xml:space="preserve"> </w:t>
      </w:r>
      <w:r>
        <w:t xml:space="preserve">Non-Hispanic)</w:t>
      </w:r>
      <w:r>
        <w:t xml:space="preserve"> </w:t>
      </w:r>
      <w:r>
        <w:t xml:space="preserve">were</w:t>
      </w:r>
      <w:r>
        <w:t xml:space="preserve"> </w:t>
      </w:r>
      <w:r>
        <w:t xml:space="preserve">in</w:t>
      </w:r>
      <w:r>
        <w:t xml:space="preserve"> </w:t>
      </w:r>
      <w:r>
        <w:t xml:space="preserve">early</w:t>
      </w:r>
      <w:r>
        <w:t xml:space="preserve"> </w:t>
      </w:r>
      <w:r>
        <w:t xml:space="preserve">recovery</w:t>
      </w:r>
      <w:r>
        <w:t xml:space="preserve"> </w:t>
      </w:r>
      <w:r>
        <w:t xml:space="preserve">from</w:t>
      </w:r>
      <w:r>
        <w:t xml:space="preserve"> </w:t>
      </w:r>
      <w:r>
        <w:t xml:space="preserve">alcohol</w:t>
      </w:r>
      <w:r>
        <w:t xml:space="preserve"> </w:t>
      </w:r>
      <w:r>
        <w:t xml:space="preserve">use</w:t>
      </w:r>
      <w:r>
        <w:t xml:space="preserve"> </w:t>
      </w:r>
      <w:r>
        <w:t xml:space="preserve">disorder</w:t>
      </w:r>
      <w:r>
        <w:t xml:space="preserve"> </w:t>
      </w:r>
      <w:r>
        <w:t xml:space="preserve">and</w:t>
      </w:r>
      <w:r>
        <w:t xml:space="preserve"> </w:t>
      </w:r>
      <w:r>
        <w:t xml:space="preserve">provided</w:t>
      </w:r>
      <w:r>
        <w:t xml:space="preserve"> </w:t>
      </w:r>
      <w:r>
        <w:t xml:space="preserve">data</w:t>
      </w:r>
      <w:r>
        <w:t xml:space="preserve"> </w:t>
      </w:r>
      <w:r>
        <w:t xml:space="preserve">for</w:t>
      </w:r>
      <w:r>
        <w:t xml:space="preserve"> </w:t>
      </w:r>
      <w:r>
        <w:t xml:space="preserve">up</w:t>
      </w:r>
      <w:r>
        <w:t xml:space="preserve"> </w:t>
      </w:r>
      <w:r>
        <w:t xml:space="preserve">to</w:t>
      </w:r>
      <w:r>
        <w:t xml:space="preserve"> </w:t>
      </w:r>
      <w:r>
        <w:t xml:space="preserve">three</w:t>
      </w:r>
      <w:r>
        <w:t xml:space="preserve"> </w:t>
      </w:r>
      <w:r>
        <w:t xml:space="preserve">months.</w:t>
      </w:r>
      <w:r>
        <w:t xml:space="preserve"> </w:t>
      </w:r>
      <w:r>
        <w:t xml:space="preserve">We</w:t>
      </w:r>
      <w:r>
        <w:t xml:space="preserve"> </w:t>
      </w:r>
      <w:r>
        <w:t xml:space="preserve">used</w:t>
      </w:r>
      <w:r>
        <w:t xml:space="preserve"> </w:t>
      </w:r>
      <w:r>
        <w:t xml:space="preserve">nested</w:t>
      </w:r>
      <w:r>
        <w:t xml:space="preserve"> </w:t>
      </w:r>
      <w:r>
        <w:t xml:space="preserve">cross-validation</w:t>
      </w:r>
      <w:r>
        <w:t xml:space="preserve"> </w:t>
      </w:r>
      <w:r>
        <w:t xml:space="preserve">to</w:t>
      </w:r>
      <w:r>
        <w:t xml:space="preserve"> </w:t>
      </w:r>
      <w:r>
        <w:t xml:space="preserve">select</w:t>
      </w:r>
      <w:r>
        <w:t xml:space="preserve"> </w:t>
      </w:r>
      <w:r>
        <w:t xml:space="preserve">and</w:t>
      </w:r>
      <w:r>
        <w:t xml:space="preserve"> </w:t>
      </w:r>
      <w:r>
        <w:t xml:space="preserve">evaluate</w:t>
      </w:r>
      <w:r>
        <w:t xml:space="preserve"> </w:t>
      </w:r>
      <w:r>
        <w:t xml:space="preserve">the</w:t>
      </w:r>
      <w:r>
        <w:t xml:space="preserve"> </w:t>
      </w:r>
      <w:r>
        <w:t xml:space="preserve">best</w:t>
      </w:r>
      <w:r>
        <w:t xml:space="preserve"> </w:t>
      </w:r>
      <w:r>
        <w:t xml:space="preserve">models.</w:t>
      </w:r>
      <w:r>
        <w:t xml:space="preserve"> </w:t>
      </w:r>
      <w:r>
        <w:t xml:space="preserve">Median</w:t>
      </w:r>
      <w:r>
        <w:t xml:space="preserve"> </w:t>
      </w:r>
      <w:r>
        <w:t xml:space="preserve">auROCs</w:t>
      </w:r>
      <w:r>
        <w:t xml:space="preserve"> </w:t>
      </w:r>
      <w:r>
        <w:t xml:space="preserve">were</w:t>
      </w:r>
      <w:r>
        <w:t xml:space="preserve"> </w:t>
      </w:r>
      <w:r>
        <w:t xml:space="preserve">high</w:t>
      </w:r>
      <w:r>
        <w:t xml:space="preserve"> </w:t>
      </w:r>
      <w:r>
        <w:t xml:space="preserve">across</w:t>
      </w:r>
      <w:r>
        <w:t xml:space="preserve"> </w:t>
      </w:r>
      <w:r>
        <w:t xml:space="preserve">models</w:t>
      </w:r>
      <w:r>
        <w:t xml:space="preserve"> </w:t>
      </w:r>
      <w:r>
        <w:t xml:space="preserve">(range</w:t>
      </w:r>
      <w:r>
        <w:t xml:space="preserve"> </w:t>
      </w:r>
      <w:r>
        <w:t xml:space="preserve">=</w:t>
      </w:r>
      <w:r>
        <w:t xml:space="preserve"> </w:t>
      </w:r>
      <w:r>
        <w:t xml:space="preserve">0.85</w:t>
      </w:r>
      <w:r>
        <w:t xml:space="preserve"> </w:t>
      </w:r>
      <w:r>
        <w:t xml:space="preserve">–</w:t>
      </w:r>
      <w:r>
        <w:t xml:space="preserve"> </w:t>
      </w:r>
      <w:r>
        <w:t xml:space="preserve">0.89).</w:t>
      </w:r>
      <w:r>
        <w:t xml:space="preserve"> </w:t>
      </w:r>
      <w:r>
        <w:t xml:space="preserve">All</w:t>
      </w:r>
      <w:r>
        <w:t xml:space="preserve"> </w:t>
      </w:r>
      <w:r>
        <w:t xml:space="preserve">lagged</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than</w:t>
      </w:r>
      <w:r>
        <w:t xml:space="preserve"> </w:t>
      </w:r>
      <w:r>
        <w:t xml:space="preserve">the</w:t>
      </w:r>
      <w:r>
        <w:t xml:space="preserve"> </w:t>
      </w:r>
      <w:r>
        <w:t xml:space="preserve">0</w:t>
      </w:r>
      <w:r>
        <w:t xml:space="preserve"> </w:t>
      </w:r>
      <w:r>
        <w:t xml:space="preserve">lag</w:t>
      </w:r>
      <w:r>
        <w:t xml:space="preserve"> </w:t>
      </w:r>
      <w:r>
        <w:t xml:space="preserve">model</w:t>
      </w:r>
      <w:r>
        <w:t xml:space="preserve"> </w:t>
      </w:r>
      <w:r>
        <w:t xml:space="preserve">(probabilities</w:t>
      </w:r>
      <w:r>
        <w:t xml:space="preserve"> </w:t>
      </w:r>
      <w:r>
        <w:t xml:space="preserve">&gt;</w:t>
      </w:r>
      <w:r>
        <w:t xml:space="preserve"> </w:t>
      </w:r>
      <w:r>
        <w:t xml:space="preserve">.95).</w:t>
      </w:r>
      <w:r>
        <w:t xml:space="preserve"> </w:t>
      </w:r>
      <w:r>
        <w:t xml:space="preserve">Comparisons</w:t>
      </w:r>
      <w:r>
        <w:t xml:space="preserve"> </w:t>
      </w:r>
      <w:r>
        <w:t xml:space="preserve">between</w:t>
      </w:r>
      <w:r>
        <w:t xml:space="preserve"> </w:t>
      </w:r>
      <w:r>
        <w:t xml:space="preserve">adjacent</w:t>
      </w:r>
      <w:r>
        <w:t xml:space="preserve"> </w:t>
      </w:r>
      <w:r>
        <w:t xml:space="preserve">lags</w:t>
      </w:r>
      <w:r>
        <w:t xml:space="preserve"> </w:t>
      </w:r>
      <w:r>
        <w:t xml:space="preserve">revealed</w:t>
      </w:r>
      <w:r>
        <w:t xml:space="preserve"> </w:t>
      </w:r>
      <w:r>
        <w:t xml:space="preserve">significant</w:t>
      </w:r>
      <w:r>
        <w:t xml:space="preserve"> </w:t>
      </w:r>
      <w:r>
        <w:t xml:space="preserve">differences</w:t>
      </w:r>
      <w:r>
        <w:t xml:space="preserve"> </w:t>
      </w:r>
      <w:r>
        <w:t xml:space="preserve">between</w:t>
      </w:r>
      <w:r>
        <w:t xml:space="preserve"> </w:t>
      </w:r>
      <w:r>
        <w:t xml:space="preserve">24</w:t>
      </w:r>
      <w:r>
        <w:t xml:space="preserve"> </w:t>
      </w:r>
      <w:r>
        <w:t xml:space="preserve">and</w:t>
      </w:r>
      <w:r>
        <w:t xml:space="preserve"> </w:t>
      </w:r>
      <w:r>
        <w:t xml:space="preserve">72</w:t>
      </w:r>
      <w:r>
        <w:t xml:space="preserve"> </w:t>
      </w:r>
      <w:r>
        <w:t xml:space="preserve">hour</w:t>
      </w:r>
      <w:r>
        <w:t xml:space="preserve"> </w:t>
      </w:r>
      <w:r>
        <w:t xml:space="preserve">lag</w:t>
      </w:r>
      <w:r>
        <w:t xml:space="preserve"> </w:t>
      </w:r>
      <w:r>
        <w:t xml:space="preserve">models</w:t>
      </w:r>
      <w:r>
        <w:t xml:space="preserve"> </w:t>
      </w:r>
      <w:r>
        <w:t xml:space="preserve">and</w:t>
      </w:r>
      <w:r>
        <w:t xml:space="preserve"> </w:t>
      </w:r>
      <w:r>
        <w:t xml:space="preserve">168</w:t>
      </w:r>
      <w:r>
        <w:t xml:space="preserve"> </w:t>
      </w:r>
      <w:r>
        <w:t xml:space="preserve">and</w:t>
      </w:r>
      <w:r>
        <w:t xml:space="preserve"> </w:t>
      </w:r>
      <w:r>
        <w:t xml:space="preserve">336</w:t>
      </w:r>
      <w:r>
        <w:t xml:space="preserve"> </w:t>
      </w:r>
      <w:r>
        <w:t xml:space="preserve">hour</w:t>
      </w:r>
      <w:r>
        <w:t xml:space="preserve"> </w:t>
      </w:r>
      <w:r>
        <w:t xml:space="preserve">lag</w:t>
      </w:r>
      <w:r>
        <w:t xml:space="preserve"> </w:t>
      </w:r>
      <w:r>
        <w:t xml:space="preserve">models.</w:t>
      </w:r>
      <w:r>
        <w:t xml:space="preserve"> </w:t>
      </w:r>
      <w:r>
        <w:t xml:space="preserve">All</w:t>
      </w:r>
      <w:r>
        <w:t xml:space="preserve"> </w:t>
      </w:r>
      <w:r>
        <w:t xml:space="preserve">models</w:t>
      </w:r>
      <w:r>
        <w:t xml:space="preserve"> </w:t>
      </w:r>
      <w:r>
        <w:t xml:space="preserve">performed</w:t>
      </w:r>
      <w:r>
        <w:t xml:space="preserve"> </w:t>
      </w:r>
      <w:r>
        <w:t xml:space="preserve">significantly</w:t>
      </w:r>
      <w:r>
        <w:t xml:space="preserve"> </w:t>
      </w:r>
      <w:r>
        <w:t xml:space="preserve">worse</w:t>
      </w:r>
      <w:r>
        <w:t xml:space="preserve"> </w:t>
      </w:r>
      <w:r>
        <w:t xml:space="preserve">for</w:t>
      </w:r>
      <w:r>
        <w:t xml:space="preserve"> </w:t>
      </w:r>
      <w:r>
        <w:t xml:space="preserve">minority</w:t>
      </w:r>
      <w:r>
        <w:t xml:space="preserve"> </w:t>
      </w:r>
      <w:r>
        <w:t xml:space="preserve">groups</w:t>
      </w:r>
      <w:r>
        <w:t xml:space="preserve"> </w:t>
      </w:r>
      <w:r>
        <w:t xml:space="preserve">(not</w:t>
      </w:r>
      <w:r>
        <w:t xml:space="preserve"> </w:t>
      </w:r>
      <w:r>
        <w:t xml:space="preserve">White</w:t>
      </w:r>
      <w:r>
        <w:t xml:space="preserve"> </w:t>
      </w:r>
      <w:r>
        <w:t xml:space="preserve">vs. non-Hispanic</w:t>
      </w:r>
      <w:r>
        <w:t xml:space="preserve"> </w:t>
      </w:r>
      <w:r>
        <w:t xml:space="preserve">White,</w:t>
      </w:r>
      <w:r>
        <w:t xml:space="preserve"> </w:t>
      </w:r>
      <w:r>
        <w:t xml:space="preserve">below</w:t>
      </w:r>
      <w:r>
        <w:t xml:space="preserve"> </w:t>
      </w:r>
      <w:r>
        <w:t xml:space="preserve">poverty</w:t>
      </w:r>
      <w:r>
        <w:t xml:space="preserve"> </w:t>
      </w:r>
      <w:r>
        <w:t xml:space="preserve">vs. above</w:t>
      </w:r>
      <w:r>
        <w:t xml:space="preserve"> </w:t>
      </w:r>
      <w:r>
        <w:t xml:space="preserve">poverty,</w:t>
      </w:r>
      <w:r>
        <w:t xml:space="preserve"> </w:t>
      </w:r>
      <w:r>
        <w:t xml:space="preserve">female</w:t>
      </w:r>
      <w:r>
        <w:t xml:space="preserve"> </w:t>
      </w:r>
      <w:r>
        <w:t xml:space="preserve">vs. male).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Earlier studies, however, have been constrained to 1) low-dimensional analyses that fail to capture the complex and heterogeneous nature of substance use disorders and 2) the use of static distal features to predict a non-linear, time-varying course of recovery, lapse, and relapse</w:t>
      </w:r>
      <w:r>
        <w:t xml:space="preserve"> </w:t>
      </w:r>
      <w:r>
        <w:t xml:space="preserve">(Witkiewitz and Marlatt 2007)</w:t>
      </w:r>
      <w:r>
        <w:t xml:space="preserve">.</w:t>
      </w:r>
    </w:p>
    <w:p>
      <w:pPr>
        <w:pStyle w:val="BodyText"/>
      </w:pPr>
      <w:r>
        <w:t xml:space="preserve">Recent advances in both machine learning and personal sensing may address these barriers to successful precision mental health. Machine learning uses high dimensional inputs that can capture the complexity of mental health conditions. Moreover, tools from machine learning can be applied to models to understand which factors are important to a specific individual at a specific moment in time, addressing the question of</w:t>
      </w:r>
      <w:r>
        <w:t xml:space="preserve"> </w:t>
      </w:r>
      <w:r>
        <w:rPr>
          <w:i/>
          <w:iCs/>
        </w:rPr>
        <w:t xml:space="preserve">how</w:t>
      </w:r>
      <w:r>
        <w:t xml:space="preserve">.</w:t>
      </w:r>
    </w:p>
    <w:p>
      <w:pPr>
        <w:pStyle w:val="BodyText"/>
      </w:pPr>
      <w:r>
        <w:t xml:space="preserve">Personal sensing allows for frequent, longitudinal measurement of changes in proximal risk (e.g., for a lapse) with high temporal precision, for better understanding the</w:t>
      </w:r>
      <w:r>
        <w:t xml:space="preserve"> </w:t>
      </w:r>
      <w:r>
        <w:rPr>
          <w:i/>
          <w:iCs/>
        </w:rPr>
        <w:t xml:space="preserve">when</w:t>
      </w:r>
      <w:r>
        <w:t xml:space="preserve">. This precision 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Ecological momentary assessment (EMA) may be particularly well-suited for risk prediction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w:t>
      </w:r>
      <w:r>
        <w:t xml:space="preserve"> </w:t>
      </w:r>
      <w:r>
        <w:t xml:space="preserve">(Wyant et al. 2024)</w:t>
      </w:r>
      <w:r>
        <w:t xml:space="preserve">.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for several different prediction widths with clinically meaningful accuracy.</w:t>
      </w:r>
    </w:p>
    <w:p>
      <w:pPr>
        <w:pStyle w:val="BodyText"/>
      </w:pPr>
      <w:r>
        <w:t xml:space="preserve">Narrow prediction window widths (i.e., next hour or next day) without any lag time between the prediction time point and start of the prediction window are well-suited for</w:t>
      </w:r>
      <w:r>
        <w:t xml:space="preserve"> </w:t>
      </w:r>
      <w:r>
        <w:rPr>
          <w:i/>
          <w:iCs/>
        </w:rPr>
        <w:t xml:space="preserve">Just-in-Time</w:t>
      </w:r>
      <w:r>
        <w:t xml:space="preserve"> </w:t>
      </w:r>
      <w:r>
        <w:t xml:space="preserve">interventions that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where prediction windows are shifted further into the future (i.e., away from the prediction time point) could provide patients with increased lead time to implement supports that might not be immediately available to them. In these situations, a wider prediction window width (i.e, one week) may be preferred. Wider window widths yield higher proportions of positive labels mitigating issues of an unbalanced outcome. Additionally, when scheduling real world support, it is important that the lead up time is adequate and not that the prediction is necessarily temporally precise.</w:t>
      </w:r>
    </w:p>
    <w:p>
      <w:pPr>
        <w:pStyle w:val="BodyText"/>
      </w:pPr>
      <w:r>
        <w:t xml:space="preserve">In this study, we evaluated the performance of a model predicting immediate next week lapses compared to models using increased lag time between the prediction time points and the start of the prediction window. Specifically, we used the same EMA features as our immediate model and trained new models to predict the probability of a lapse beginning one day (24 hours), three days (72 hours), one week (168 hours), or two weeks (336 hours) into the future. We evaluated each lagged model to determine if they perform at clinically implementable levels and assessed the relative difference in performance as lag time increased.</w:t>
      </w:r>
    </w:p>
    <w:p>
      <w:pPr>
        <w:pStyle w:val="BodyText"/>
      </w:pPr>
      <w:r>
        <w:t xml:space="preserve">Additionally, our group is committed to the responsible and transparent reporting of model performance. Models that work for only a subset of people, if implemented, could widen existing treatment disparities. Therefore we reported our models’ performance for three dichotomized demographic groups with known disparities in access to substance use treatment - race and ethnicity (not White vs. non-Hispanic White)</w:t>
      </w:r>
      <w:r>
        <w:t xml:space="preserve"> </w:t>
      </w:r>
      <w:r>
        <w:t xml:space="preserve">(Pinedo 2019; Kilaru et al. 2020)</w:t>
      </w:r>
      <w:r>
        <w:t xml:space="preserve">, income (below poverty vs. above poverty)</w:t>
      </w:r>
      <w:r>
        <w:t xml:space="preserve"> </w:t>
      </w:r>
      <w:r>
        <w:t xml:space="preserve">(Olfson et al. 2022)</w:t>
      </w:r>
      <w:r>
        <w:t xml:space="preserve">, and sex at birth (female vs. male)</w:t>
      </w:r>
      <w:r>
        <w:t xml:space="preserve"> </w:t>
      </w:r>
      <w:r>
        <w:t xml:space="preserve">(Greenfield et al. 2007; Kilaru et al. 2020)</w:t>
      </w:r>
      <w:r>
        <w:t xml:space="preserve">.</w:t>
      </w:r>
    </w:p>
    <w:bookmarkEnd w:id="21"/>
    <w:bookmarkStart w:id="47"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2024)</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 to characterize our sample. Demographic information was also included as features in our models and a subset (sex, race, ethnicity, and income) used for model fairness analyses.</w:t>
      </w:r>
    </w:p>
    <w:p>
      <w:pPr>
        <w:pStyle w:val="BodyText"/>
      </w:pPr>
      <w:r>
        <w:t xml:space="preserve">As part of the aims of the parent project we collected many other trait and state measures throughout the study. A complete list of all measures can be found on our study’s OSF page.</w:t>
      </w:r>
    </w:p>
    <w:bookmarkEnd w:id="27"/>
    <w:bookmarkEnd w:id="28"/>
    <w:bookmarkStart w:id="46"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 Kuhn 2022; Goodrich et al. 2023)</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4" w:name="predictions"/>
    <w:p>
      <w:pPr>
        <w:pStyle w:val="Heading3"/>
      </w:pPr>
      <w:r>
        <w:t xml:space="preserve">Predictions</w:t>
      </w:r>
    </w:p>
    <w:p>
      <w:pPr>
        <w:pStyle w:val="FirstParagraph"/>
      </w:pPr>
      <w:hyperlink w:anchor="fig-methods">
        <w:r>
          <w:rPr>
            <w:rStyle w:val="Hyperlink"/>
          </w:rPr>
          <w:t xml:space="preserve">Figure 1</w:t>
        </w:r>
      </w:hyperlink>
      <w:r>
        <w:t xml:space="preserve"> </w:t>
      </w:r>
      <w:r>
        <w:t xml:space="preserve">shows how we established prediction time points, windows, and lags. All available data up until, but not including, the prediction time point was used to generate model predictions. Prediction time points were updated hourly (Panel A). The first prediction time point for each participant was 24 hours from midnight on their study start date. This ensured at least 24 hours of past EMAs for future lapse prediction at these first time points. Subsequent predictions time points for each participant repeatedly rolled hour-by-hour until the end of their study participation.</w:t>
      </w:r>
    </w:p>
    <w:p>
      <w:pPr>
        <w:pStyle w:val="BodyText"/>
      </w:pPr>
      <w:r>
        <w:t xml:space="preserve">The prediction window width was one week. Prediction windows rolled forward hour-by-hour with the prediction time point (Panel B). There were five possible lag times between the prediction time point and start of the prediction window. A prediction window either started immediately after the prediction time point (0 lag) or was lagged by 24, 72, 168, or 336 hours.</w:t>
      </w:r>
    </w:p>
    <w:p>
      <w:pPr>
        <w:pStyle w:val="BodyText"/>
      </w:pPr>
      <w:r>
        <w:t xml:space="preserve">Therefore, our models provided hour-by-hour probabilities of an alcohol lapse in the next week pushed out up to two weeks into the future.</w:t>
      </w:r>
    </w:p>
    <w:tbl>
      <w:tblPr>
        <w:tblStyle w:val="Table"/>
        <w:tblW w:type="pct" w:w="5000"/>
        <w:tblLayout w:type="fixed"/>
        <w:tblLook w:firstRow="0" w:lastRow="0" w:firstColumn="0" w:lastColumn="0" w:noHBand="0" w:noVBand="0" w:val="0000"/>
      </w:tblPr>
      <w:tblGrid>
        <w:gridCol w:w="7920"/>
      </w:tblGrid>
      <w:tr>
        <w:tc>
          <w:tcPr/>
          <w:bookmarkStart w:id="32" w:name="fig-methods"/>
          <w:p>
            <w:pPr>
              <w:pStyle w:val="Compact"/>
              <w:jc w:val="center"/>
            </w:pPr>
            <w:r>
              <w:drawing>
                <wp:inline>
                  <wp:extent cx="5334000" cy="4240840"/>
                  <wp:effectExtent b="0" l="0" r="0" t="0"/>
                  <wp:docPr descr="" title="" id="30" name="Picture"/>
                  <a:graphic>
                    <a:graphicData uri="http://schemas.openxmlformats.org/drawingml/2006/picture">
                      <pic:pic>
                        <pic:nvPicPr>
                          <pic:cNvPr descr="index_files/figure-docx/notebooks-mak_figures-fig-methods-output-1.jpeg" id="31" name="Picture"/>
                          <pic:cNvPicPr>
                            <a:picLocks noChangeArrowheads="1" noChangeAspect="1"/>
                          </pic:cNvPicPr>
                        </pic:nvPicPr>
                        <pic:blipFill>
                          <a:blip r:embed="rId29"/>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We used all available data up until the prediction timepoint to generate features using varying scoring epochs. Prediction timepoints rolled forward hour-by-hour (Panel A). Prediction windows were 1 week wide. A prediction window started immediately after the prediction timepoint (0 lag) or was lagged by 24, 72, 168, or 336 hours (Panel B).</w:t>
            </w:r>
          </w:p>
          <w:bookmarkEnd w:id="32"/>
        </w:tc>
      </w:tr>
    </w:tbl>
    <w:p>
      <w:pPr>
        <w:pStyle w:val="BodyText"/>
      </w:pPr>
      <w:r>
        <w:rPr>
          <w:vertAlign w:val="subscript"/>
        </w:rPr>
        <w:t xml:space="preserve">Source:</w:t>
      </w:r>
      <w:r>
        <w:rPr>
          <w:vertAlign w:val="subscript"/>
        </w:rPr>
        <w:t xml:space="preserve"> </w:t>
      </w:r>
      <w:hyperlink r:id="rId33">
        <w:r>
          <w:rPr>
            <w:rStyle w:val="Hyperlink"/>
            <w:vertAlign w:val="subscript"/>
          </w:rPr>
          <w:t xml:space="preserve">Make All Figures for Main Manuscript</w:t>
        </w:r>
      </w:hyperlink>
    </w:p>
    <w:bookmarkEnd w:id="34"/>
    <w:bookmarkStart w:id="35" w:name="labels"/>
    <w:p>
      <w:pPr>
        <w:pStyle w:val="Heading3"/>
      </w:pPr>
      <w:r>
        <w:t xml:space="preserve">Labels</w:t>
      </w:r>
    </w:p>
    <w:p>
      <w:pPr>
        <w:pStyle w:val="FirstParagraph"/>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5"/>
    <w:bookmarkStart w:id="36"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6"/>
    <w:bookmarkStart w:id="45" w:name="model-training-and-evaluation"/>
    <w:p>
      <w:pPr>
        <w:pStyle w:val="Heading3"/>
      </w:pPr>
      <w:r>
        <w:t xml:space="preserve">Model Training and Evaluation</w:t>
      </w:r>
    </w:p>
    <w:bookmarkStart w:id="37"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7"/>
    <w:bookmarkStart w:id="38"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8"/>
    <w:bookmarkStart w:id="40" w:name="bayesian-model"/>
    <w:p>
      <w:pPr>
        <w:pStyle w:val="Heading4"/>
      </w:pPr>
      <w:r>
        <w:t xml:space="preserve">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(RStudio Team 2020; Gabry and Goodrich 2023)</w:t>
      </w:r>
      <w:r>
        <w:t xml:space="preserve">, we used the rstanarm default autoscaled, weakly informative, data-dependent priors that take into account the order of magnitude of the variables to provide some regularization to stabilize computation and avoid over-fitting.</w:t>
      </w:r>
      <w:r>
        <w:rPr>
          <w:rStyle w:val="FootnoteReference"/>
        </w:rPr>
        <w:footnoteReference w:id="39"/>
      </w:r>
      <w:r>
        <w:t xml:space="preserve"> </w:t>
      </w:r>
      <w:r>
        <w:t xml:space="preserve">We set two random intercepts to account for our resampling method: one for the repeat, and another for the fold nested within repeat. We specified two sets of contrasts for model comparisons. The first set compared each lagged model to the baseline model (0 lag vs. 24 hour lag, 0 lag vs. 72 hour lag, 0 lag vs. 168 lag, 0 lag vs. 336 lag). The second set compared adjacently lagged models (24 hour lag vs. 72 hour lag, 72 hour lag vs. 168 hour lag, 168 hour lag vs. 336 hour lag). auROCs were transformed using the logit function and regressed as a function of model contrast.</w:t>
      </w:r>
    </w:p>
    <w:p>
      <w:pPr>
        <w:pStyle w:val="BodyText"/>
      </w:pPr>
      <w:r>
        <w:t xml:space="preserve">From the Bayesian model we obtained the posterior distribution (transformed back from logit) and Bayeisan CIs for all five models. To evaluate our models’ overall performance we report the median posterior probability for auROC and Bayesian CIs. This represents our best estimate for the magnitude of the auROC parameter for each model. If the confidence intervals do not contain .5 (chance performance), this suggests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 If there was a probability &gt;.95 that the more lagged model’s performance was worse, we labeled the model contrast as significant.</w:t>
      </w:r>
    </w:p>
    <w:bookmarkEnd w:id="40"/>
    <w:bookmarkStart w:id="43" w:name="fairness-analyses"/>
    <w:p>
      <w:pPr>
        <w:pStyle w:val="Heading4"/>
      </w:pPr>
      <w:r>
        <w:t xml:space="preserve">Fairness Analyses</w:t>
      </w:r>
    </w:p>
    <w:p>
      <w:pPr>
        <w:pStyle w:val="FirstParagraph"/>
      </w:pPr>
      <w:r>
        <w:t xml:space="preserve">We calculated the median posterior probability and 95% Bayesian CI for auROC for each model separately by race and ethnicity (not White vs. non-Hispanic White), income (below poverty vs. above poverty</w:t>
      </w:r>
      <w:r>
        <w:rPr>
          <w:rStyle w:val="FootnoteReference"/>
        </w:rPr>
        <w:footnoteReference w:id="41"/>
      </w:r>
      <w:r>
        <w:t xml:space="preserve">), and sex at birth (female vs. male). We conducted Bayesian group comparisons to assess the likelihood that each model performs differently by group. We report the median difference and range in posterior probabilities across all models. The median auROC and Bayesian CIs are reported separately by group and model in the supplement.</w:t>
      </w:r>
      <w:r>
        <w:rPr>
          <w:rStyle w:val="FootnoteReference"/>
        </w:rPr>
        <w:footnoteReference w:id="42"/>
      </w:r>
    </w:p>
    <w:bookmarkEnd w:id="43"/>
    <w:bookmarkStart w:id="44"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4"/>
    <w:bookmarkEnd w:id="45"/>
    <w:bookmarkEnd w:id="46"/>
    <w:bookmarkEnd w:id="47"/>
    <w:bookmarkStart w:id="125" w:name="results"/>
    <w:p>
      <w:pPr>
        <w:pStyle w:val="Heading1"/>
      </w:pPr>
      <w:r>
        <w:t xml:space="preserve">Results</w:t>
      </w:r>
    </w:p>
    <w:bookmarkStart w:id="50"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and most participants (N=84; 55.6%) reported one or more lapses during participation.</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8"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8"/>
          <w:p/>
        </w:tc>
      </w:tr>
    </w:tbl>
    <w:p>
      <w:pPr>
        <w:pStyle w:val="BodyText"/>
      </w:pPr>
      <w:r>
        <w:rPr>
          <w:vertAlign w:val="subscript"/>
        </w:rPr>
        <w:t xml:space="preserve">Source:</w:t>
      </w:r>
      <w:r>
        <w:rPr>
          <w:vertAlign w:val="subscript"/>
        </w:rPr>
        <w:t xml:space="preserve"> </w:t>
      </w:r>
      <w:hyperlink r:id="rId49">
        <w:r>
          <w:rPr>
            <w:rStyle w:val="Hyperlink"/>
            <w:vertAlign w:val="subscript"/>
          </w:rPr>
          <w:t xml:space="preserve">Make All Tables for Main Manuscript</w:t>
        </w:r>
      </w:hyperlink>
    </w:p>
    <w:bookmarkEnd w:id="50"/>
    <w:bookmarkStart w:id="57" w:name="model-evaluation"/>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rPr>
          <w:rStyle w:val="FootnoteReference"/>
        </w:rPr>
        <w:footnoteReference w:id="51"/>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 Panel A in</w:t>
      </w:r>
      <w:r>
        <w:t xml:space="preserve"> </w:t>
      </w:r>
      <w:hyperlink w:anchor="fig-1">
        <w:r>
          <w:rPr>
            <w:rStyle w:val="Hyperlink"/>
          </w:rPr>
          <w:t xml:space="preserve">Figure 2</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334000" cy="3810000"/>
                  <wp:effectExtent b="0" l="0" r="0" t="0"/>
                  <wp:docPr descr="" title="" id="53" name="Picture"/>
                  <a:graphic>
                    <a:graphicData uri="http://schemas.openxmlformats.org/drawingml/2006/picture">
                      <pic:pic>
                        <pic:nvPicPr>
                          <pic:cNvPr descr="index_files/figure-docx/notebooks-mak_figures-fig-1-output-1.png" id="54" name="Picture"/>
                          <pic:cNvPicPr>
                            <a:picLocks noChangeArrowheads="1" noChangeAspect="1"/>
                          </pic:cNvPicPr>
                        </pic:nvPicPr>
                        <pic:blipFill>
                          <a:blip r:embed="rId5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posterior probability for area under ROC curve (auROC) and Bayesian credible intervals by model. Dashed line indicates a model performing at chance. Panel B depicts difference in auROCs by demographic group</w:t>
            </w:r>
          </w:p>
          <w:bookmarkEnd w:id="55"/>
        </w:tc>
      </w:tr>
    </w:tbl>
    <w:p>
      <w:pPr>
        <w:pStyle w:val="BodyText"/>
      </w:pPr>
      <w:r>
        <w:rPr>
          <w:vertAlign w:val="subscript"/>
        </w:rPr>
        <w:t xml:space="preserve">Source:</w:t>
      </w:r>
      <w:r>
        <w:rPr>
          <w:vertAlign w:val="subscript"/>
        </w:rPr>
        <w:t xml:space="preserve"> </w:t>
      </w:r>
      <w:hyperlink r:id="rId56">
        <w:r>
          <w:rPr>
            <w:rStyle w:val="Hyperlink"/>
            <w:vertAlign w:val="subscript"/>
          </w:rPr>
          <w:t xml:space="preserve">Make All Figures for Main Manuscript</w:t>
        </w:r>
      </w:hyperlink>
    </w:p>
    <w:bookmarkEnd w:id="57"/>
    <w:bookmarkStart w:id="60" w:name="model-comparisons"/>
    <w:p>
      <w:pPr>
        <w:pStyle w:val="Heading2"/>
      </w:pPr>
      <w:r>
        <w:t xml:space="preserve">Model Comparisons</w:t>
      </w:r>
    </w:p>
    <w:bookmarkStart w:id="58"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decrease in auROC for the baseline vs. 168 hour lag model was 0.023 (95% CI=[0.016-0.029]), yielding a significant probability of 1.000 that the lagged model had worse performance. The median decrease in auROC for the baseline vs. 336 hour lag model was 0.041 (95% CI=[0.033-0.049]), yielding a significant probability of 1.000 that the lagged model had worse performance.</w:t>
      </w:r>
    </w:p>
    <w:bookmarkEnd w:id="58"/>
    <w:bookmarkStart w:id="59"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9"/>
    <w:bookmarkEnd w:id="60"/>
    <w:bookmarkStart w:id="61" w:name="fairness-analyses-1"/>
    <w:p>
      <w:pPr>
        <w:pStyle w:val="Heading2"/>
      </w:pPr>
      <w:r>
        <w:t xml:space="preserve">Fairness Analyses</w:t>
      </w:r>
    </w:p>
    <w:p>
      <w:pPr>
        <w:pStyle w:val="FirstParagraph"/>
      </w:pPr>
      <w:r>
        <w:t xml:space="preserve">Panel B in</w:t>
      </w:r>
      <w:r>
        <w:t xml:space="preserve"> </w:t>
      </w:r>
      <w:hyperlink w:anchor="fig-1">
        <w:r>
          <w:rPr>
            <w:rStyle w:val="Hyperlink"/>
          </w:rPr>
          <w:t xml:space="preserve">Figure 2</w:t>
        </w:r>
      </w:hyperlink>
      <w:r>
        <w:t xml:space="preserve"> </w:t>
      </w:r>
      <w:r>
        <w:t xml:space="preserve">shows the difference in performance of each model by race (not White;</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w:t>
      </w:r>
      <w:r>
        <w:t xml:space="preserve"> </w:t>
      </w:r>
      <w:r>
        <w:rPr>
          <w:i/>
          <w:iCs/>
        </w:rPr>
        <w:t xml:space="preserve">N</w:t>
      </w:r>
      <w:r>
        <w:t xml:space="preserve"> </w:t>
      </w:r>
      <w:r>
        <w:t xml:space="preserve">= 18 vs. above poverty;</w:t>
      </w:r>
      <w:r>
        <w:t xml:space="preserve"> </w:t>
      </w:r>
      <w:r>
        <w:rPr>
          <w:i/>
          <w:iCs/>
        </w:rPr>
        <w:t xml:space="preserve">N</w:t>
      </w:r>
      <w:r>
        <w:t xml:space="preserve"> </w:t>
      </w:r>
      <w:r>
        <w:t xml:space="preserve">= 133). All group comparisons were significant (probability &gt; .95) across models. On average there was a median decrease in auROC of 0.159 (range 0.107-0.179) for participants who were not White compared to non-Hispanic White participants. On average there was a median decrease in auROC of 0.080 (range 0.059-0.116) for female participants compared to male participants. On average there was a median decrease in auROC of 0.092 (range 0.086-0.133) for participants below the federal poverty line compared to participants above the federal poverty line. Table 1 in the supplement shows the median auROC and credible intervals separately by group and model.</w:t>
      </w:r>
    </w:p>
    <w:bookmarkEnd w:id="61"/>
    <w:bookmarkStart w:id="67"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3</w:t>
        </w:r>
      </w:hyperlink>
      <w:r>
        <w:t xml:space="preserve">. The top three feature categories for all models were past use, future efficacy, and craving. Future risky situations were also globally important across models. This category was ranked as the 4th most important feature across lagged models (24, 72, 168, and 336 hours). For the immediate model (0 hour lag), past risky situations were ranked as the 4th most important feature category and future risky situations was ranked as the fifth most important. Income was the only demographic feature that emerged as having high global importance for lapse prediction (in top 6 for all models).</w:t>
      </w:r>
      <w:r>
        <w:t xml:space="preserve"> </w:t>
      </w:r>
      <w:r>
        <w:t xml:space="preserve"> </w:t>
      </w:r>
      <w:r>
        <w:t xml:space="preserve">A table of feature categories ranked by global importance for each model is available in the supplement.</w:t>
      </w:r>
    </w:p>
    <w:p>
      <w:pPr>
        <w:pStyle w:val="BodyText"/>
      </w:pPr>
      <w:r>
        <w:t xml:space="preserve">Panel B shows the local feature importance scores colored by high or low feature value for the baseline (0 lag) model. Local feature importance plots for our other models can be found in the supplement. Future abstinence efficacy, future risky situations, and income appear to have a linear relationship to lapse prediction. Higher efficacy, fewer future risky situations, and higher income were associated with a lower likelihood that the model would predict a lapse. In the supplement, we plot the relationship between Shapley value and feature score individually for our overall top five features by model.</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4191000"/>
                  <wp:effectExtent b="0" l="0" r="0" t="0"/>
                  <wp:docPr descr="" title="" id="63" name="Picture"/>
                  <a:graphic>
                    <a:graphicData uri="http://schemas.openxmlformats.org/drawingml/2006/picture">
                      <pic:pic>
                        <pic:nvPicPr>
                          <pic:cNvPr descr="index_files/figure-docx/notebooks-mak_figures-fig-shap-output-1.png" id="64" name="Picture"/>
                          <pic:cNvPicPr>
                            <a:picLocks noChangeArrowheads="1" noChangeAspect="1"/>
                          </pic:cNvPicPr>
                        </pic:nvPicPr>
                        <pic:blipFill>
                          <a:blip r:embed="rId62"/>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0 hour lagged model.</w:t>
            </w:r>
          </w:p>
          <w:bookmarkEnd w:id="65"/>
        </w:tc>
      </w:tr>
    </w:tbl>
    <w:p>
      <w:pPr>
        <w:pStyle w:val="BodyText"/>
      </w:pPr>
      <w:r>
        <w:rPr>
          <w:vertAlign w:val="subscript"/>
        </w:rPr>
        <w:t xml:space="preserve">Source:</w:t>
      </w:r>
      <w:r>
        <w:rPr>
          <w:vertAlign w:val="subscript"/>
        </w:rPr>
        <w:t xml:space="preserve"> </w:t>
      </w:r>
      <w:hyperlink r:id="rId66">
        <w:r>
          <w:rPr>
            <w:rStyle w:val="Hyperlink"/>
            <w:vertAlign w:val="subscript"/>
          </w:rPr>
          <w:t xml:space="preserve">Make All Figures for Main Manuscript</w:t>
        </w:r>
      </w:hyperlink>
    </w:p>
    <w:bookmarkEnd w:id="67"/>
    <w:bookmarkStart w:id="68" w:name="discussion"/>
    <w:p>
      <w:pPr>
        <w:pStyle w:val="Heading2"/>
      </w:pPr>
      <w:r>
        <w:t xml:space="preserve">Discussion</w:t>
      </w:r>
    </w:p>
    <w:bookmarkEnd w:id="68"/>
    <w:bookmarkStart w:id="69" w:name="model-performance"/>
    <w:p>
      <w:pPr>
        <w:pStyle w:val="Heading2"/>
      </w:pPr>
      <w:r>
        <w:t xml:space="preserve">Model Performance</w:t>
      </w:r>
    </w:p>
    <w:p>
      <w:pPr>
        <w:pStyle w:val="FirstParagraph"/>
      </w:pPr>
      <w:r>
        <w:t xml:space="preserve">Our models performed exceptionally well with median posterior probabilities for auROCs of .85 - .89. This suggests we can achieve clinically meaningful performance up to two weeks out. Our rigorous resampling methods (grouped, nested, k-fold cross-validation) make us confident that these are valid estimates of how our models would perform with new individuals.</w:t>
      </w:r>
    </w:p>
    <w:p>
      <w:pPr>
        <w:pStyle w:val="BodyText"/>
      </w:pPr>
      <w:r>
        <w:t xml:space="preserve">Nevertheless, model performance did significantly decrease as models predicted further into the future. This is unsurprising given what we know about prediction and substance use. First, as lag time increases, features become less proximal to the prediction time point. Many important relapse risk factors are fluctuating processes that can change day-by-day, if not more frequently. For example, cravings can come on quickly (e.g., after encountering a person or place that reminds them of their use) and typically only last for up to 30 minutes. It may be acceptable to miss some of these more dynamic risk factors, however, if we consider lagged models as a supplement to immediate lapse prediction models (i.e., models with no lag). Lagged prediction models are most useful for their ability to provide individuals with advance notice that they may be at risk for lapsing. This advance notice can be used to implement more time-intensive recovery supports, such as attending a support group. On the other hand, an immediate lapse prediction model (i.e., no lag) is well-suited for detecting immediate risk and making a recommendation just-in-time (e.g., pointing to an activity available 24/7 on the web).</w:t>
      </w:r>
    </w:p>
    <w:p>
      <w:pPr>
        <w:pStyle w:val="BodyText"/>
      </w:pPr>
      <w:r>
        <w:t xml:space="preserve">We saw mixed evidence that feature importance might change depending on lag. Past use and craving were the top two features for all models. This suggests that although these features can change quickly, they are important enough to consistently emerge as top predictors regardless of lag time. Recent past risky situations, however, ranked high for the immediate prediction models, but future anticipated risky situations was relatively more important for the lagged models.</w:t>
      </w:r>
      <w:r>
        <w:t xml:space="preserve"> </w:t>
      </w:r>
      <w:r>
        <w:t xml:space="preserve"> </w:t>
      </w:r>
    </w:p>
    <w:p>
      <w:pPr>
        <w:pStyle w:val="BodyText"/>
      </w:pPr>
      <w:r>
        <w:t xml:space="preserve">Second, participants only provided EMA for up to three months. Therefore, a lag time of two weeks between the prediction time point and start of the prediction window prohibits us from using 1/6th of the EMA data for predictions. It is possible that this loss of data contributed to decreased performance in the lagged models. In a separate NIH protocol underway, participants are providing EMA and other sensed data for up to 12 months</w:t>
      </w:r>
      <w:r>
        <w:t xml:space="preserve"> </w:t>
      </w:r>
      <w:r>
        <w:t xml:space="preserve">(Moshontz et al. 2021)</w:t>
      </w:r>
      <w:r>
        <w:t xml:space="preserve">. By comparing models built from these two datasets, we will better be able to evaluate whether this loss of data impacted model performance and if we can sustain similar performance with even longer lags in these data. Still, we wish to emphasize that our lowest auROC (.85) is still excellent, and the benefit of advanced notice likely outweighs the cost to performance.</w:t>
      </w:r>
    </w:p>
    <w:bookmarkEnd w:id="69"/>
    <w:bookmarkStart w:id="70" w:name="model-fairness"/>
    <w:p>
      <w:pPr>
        <w:pStyle w:val="Heading2"/>
      </w:pPr>
      <w:r>
        <w:t xml:space="preserve">Model Fairness</w:t>
      </w:r>
    </w:p>
    <w:p>
      <w:pPr>
        <w:pStyle w:val="FirstParagraph"/>
      </w:pPr>
      <w:r>
        <w:t xml:space="preserve">All models performed worse for women, for people who were not White, and for people who had an income below the poverty line. The largest contributing factor is likely the lack of diversity in our training data. For example, even with our coarse combination of race/ethnicity, the not White group was largely underrepresented relative to the non-Hispanic White group. The best solution to this limitation would be to recruit a more representative sample. However, there may be methods to mitigate these issues in the current data. We could explore upsampling minority group representation in the data (e.g., using synthetic minority oversampling technique). We also could adjust the penalty weights so that prediction errors for minority groups are weighted more heavily than prediction errors for majority groups.</w:t>
      </w:r>
    </w:p>
    <w:p>
      <w:pPr>
        <w:pStyle w:val="BodyText"/>
      </w:pPr>
      <w:r>
        <w:t xml:space="preserve">Lastly, we could consider building models for a specific individual (i.e., idiographic)</w:t>
      </w:r>
      <w:r>
        <w:t xml:space="preserve"> </w:t>
      </w:r>
      <w:r>
        <w:t xml:space="preserve">(Fisher et al. 2019; Wright and Zimmermann 2019)</w:t>
      </w:r>
      <w:r>
        <w:t xml:space="preserve">. Person-specific models consider the characteristics and behaviors important to an individual rather than generalizing across a population. Unfortunately, a person-specific lapse prediction model requires a sufficient number of positive labels (i.e., lapses) for that individual. Waiting until an individual has lapsed multiple (perhaps many) times to offer help is in direct opposition with our goals. One potential solution to this conundrum may involve departing from traditional machine learning algorithms. For example, state space models, which are grounded in traditional repeated measures designs, inherently capture time series data and allow for the modeling of how an individual’s risk evolves over time from observable and latent states.</w:t>
      </w:r>
      <w:r>
        <w:t xml:space="preserve"> </w:t>
      </w:r>
    </w:p>
    <w:p>
      <w:pPr>
        <w:pStyle w:val="BodyText"/>
      </w:pPr>
      <w:r>
        <w:t xml:space="preserve">Although representation in our data is likely a contributing factor, it is not the only factor affecting model fairness. We had equal representation of men and women, and we still saw differences in performance. This difference is likely due to another source of bias - measurement bias. We chose our EMA items based on domain expertise and years of relapse risk research. It is possible that these constructs more precisely describe relapse risk factors for men than for women. This could mean that more research is needed to identify relapse risk factors for women (and other groups underrepresented in the literature more broadly). Additionally, data driven (bottom-up) approaches to creating features could be one way to remove some of the bias in domain driven (top-down) approaches. For example, using natural language processing on text message content could allow for new categories of features to emerge.</w:t>
      </w:r>
    </w:p>
    <w:bookmarkEnd w:id="70"/>
    <w:bookmarkStart w:id="71" w:name="X40ab624ebf83813907a18dba36edd4d1d14a553"/>
    <w:p>
      <w:pPr>
        <w:pStyle w:val="Heading2"/>
      </w:pPr>
      <w:r>
        <w:t xml:space="preserve">Additional Limitations and Future Directions</w:t>
      </w:r>
    </w:p>
    <w:p>
      <w:pPr>
        <w:pStyle w:val="FirstParagraph"/>
      </w:pPr>
      <w:r>
        <w:t xml:space="preserve">All of the proposed suggestions above for improving model fairness are current directions in our lab. In our current sample of participants, we are building models that prioritize accuracy for underrepresented groups. We are also building models that use other sensing methods, like geolocation and text message content, separately and in conjunction with EMA. In these combined models, we plan to assess whether the relative top features differs by demographic group. For example, it is possible that data-driven features (e.g., from geolocation) emerge as more important for groups that have been historically underrepresented in the research on relapse risk factors driving our self-report measures. To increase the diversity of our data, we recruited a nationally representative sample of people with opioid use disorder (data collection is near complete)</w:t>
      </w:r>
      <w:r>
        <w:t xml:space="preserve"> </w:t>
      </w:r>
      <w:r>
        <w:t xml:space="preserve">(Moshontz et al. 2021)</w:t>
      </w:r>
      <w:r>
        <w:t xml:space="preserve">.</w:t>
      </w:r>
    </w:p>
    <w:p>
      <w:pPr>
        <w:pStyle w:val="BodyText"/>
      </w:pPr>
      <w:r>
        <w:t xml:space="preserve">Measurement burden of EMA is also a concern. Research suggests people can comply with effortful sensing methods (e.g., 4x daily EMA) while using substances</w:t>
      </w:r>
      <w:r>
        <w:t xml:space="preserve"> </w:t>
      </w:r>
      <w:r>
        <w:t xml:space="preserve">(Wyant et al. 2023; Jones et al. 2019)</w:t>
      </w:r>
      <w:r>
        <w:t xml:space="preserve">. However, it is likely that frequent daily surveys will eventually become too burdensome when considering long-term monitoring. We plan to build models that use only 1x daily EMA to evaluate the trade-off between model performance and assessment burden. We also plan to build models that combine EMA and passive sensing methods, like geolocation, and evaluate the important features. It is possible that adding other low burden sensing methods could allow us to reduce the frequency (e.g., 1x weekly EMA) and/or length (e.g, 2-3 items) of our EMAs.</w:t>
      </w:r>
    </w:p>
    <w:p>
      <w:pPr>
        <w:pStyle w:val="BodyText"/>
      </w:pPr>
      <w:r>
        <w:t xml:space="preserve">Finally, to address disparities in substance use treatment initiation and outcomes among underrepresented groups, it is important to solicit and consider individual preferences and perceptions of the sensing data used to build an algorithm-guided risk monitoring support system from the beginning (i.e.,</w:t>
      </w:r>
      <w:r>
        <w:t xml:space="preserve"> </w:t>
      </w:r>
      <w:r>
        <w:rPr>
          <w:i/>
          <w:iCs/>
        </w:rPr>
        <w:t xml:space="preserve">before</w:t>
      </w:r>
      <w:r>
        <w:t xml:space="preserve"> </w:t>
      </w:r>
      <w:r>
        <w:t xml:space="preserve">an intervention is developed). Providing a support tool only acceptable to a majority group could widen existing disparities. To this end, we are currently using a mixed-methods design to assess issues related to feasibility and acceptability by sensing method and demographic characteristics in our national sample of participants with opioid use disorder.</w:t>
      </w:r>
    </w:p>
    <w:bookmarkEnd w:id="71"/>
    <w:bookmarkStart w:id="72" w:name="conclusion"/>
    <w:p>
      <w:pPr>
        <w:pStyle w:val="Heading2"/>
      </w:pPr>
      <w:r>
        <w:t xml:space="preserve">Conclusion</w:t>
      </w:r>
    </w:p>
    <w:p>
      <w:pPr>
        <w:pStyle w:val="FirstParagraph"/>
      </w:pPr>
      <w:r>
        <w:t xml:space="preserve">This study suggests it is possible to predict alcohol lapses up to two weeks into the future. This advanced notice could allow patients to implement multimodal support options not immediately available. Important steps are still needed to make these models clinically implementable. Most notably, is the increased fairness in model performance. However, we remain optimistic as we have already begun to take several steps in addressing these barriers.</w:t>
      </w:r>
    </w:p>
    <w:bookmarkEnd w:id="72"/>
    <w:bookmarkStart w:id="124" w:name="references"/>
    <w:p>
      <w:pPr>
        <w:pStyle w:val="Heading2"/>
      </w:pPr>
      <w:r>
        <w:t xml:space="preserve">References</w:t>
      </w:r>
    </w:p>
    <w:bookmarkStart w:id="123" w:name="refs"/>
    <w:bookmarkStart w:id="74"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73">
        <w:r>
          <w:rPr>
            <w:rStyle w:val="Hyperlink"/>
          </w:rPr>
          <w:t xml:space="preserve">https://doi.org/10.1016/j.addbeh.2017.11.039</w:t>
        </w:r>
      </w:hyperlink>
      <w:r>
        <w:t xml:space="preserve">.</w:t>
      </w:r>
    </w:p>
    <w:bookmarkEnd w:id="74"/>
    <w:bookmarkStart w:id="76"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75">
        <w:r>
          <w:rPr>
            <w:rStyle w:val="Hyperlink"/>
          </w:rPr>
          <w:t xml:space="preserve">https://doi.org/10.21231/GNT1-HW21</w:t>
        </w:r>
      </w:hyperlink>
      <w:r>
        <w:t xml:space="preserve">.</w:t>
      </w:r>
    </w:p>
    <w:bookmarkEnd w:id="76"/>
    <w:bookmarkStart w:id="78"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77">
        <w:r>
          <w:rPr>
            <w:rStyle w:val="Hyperlink"/>
          </w:rPr>
          <w:t xml:space="preserve">https://doi.org/10.1016/j.jsat.2013.08.004</w:t>
        </w:r>
      </w:hyperlink>
      <w:r>
        <w:t xml:space="preserve">.</w:t>
      </w:r>
    </w:p>
    <w:bookmarkEnd w:id="78"/>
    <w:bookmarkStart w:id="80"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9">
        <w:r>
          <w:rPr>
            <w:rStyle w:val="Hyperlink"/>
          </w:rPr>
          <w:t xml:space="preserve">https://doi.org/10.1016/j.brat.2019.103506</w:t>
        </w:r>
      </w:hyperlink>
      <w:r>
        <w:t xml:space="preserve">.</w:t>
      </w:r>
    </w:p>
    <w:bookmarkEnd w:id="80"/>
    <w:bookmarkStart w:id="82" w:name="ref-fisherOpenTrialPersonalized2019"/>
    <w:p>
      <w:pPr>
        <w:pStyle w:val="Bibliography"/>
      </w:pPr>
      <w:r>
        <w:t xml:space="preserve">Fisher, Aaron J., Hannah G. Bosley, Katya C. Fernandez, Jonathan W. Reeves, Peter D. Soyster, Allison E. Diamond, and Jonathan Barkin. 2019.</w:t>
      </w:r>
      <w:r>
        <w:t xml:space="preserve"> </w:t>
      </w:r>
      <w:r>
        <w:t xml:space="preserve">“Open Trial of a Personalized Modular Treatment for Mood and Anxiety.”</w:t>
      </w:r>
      <w:r>
        <w:t xml:space="preserve"> </w:t>
      </w:r>
      <w:r>
        <w:rPr>
          <w:i/>
          <w:iCs/>
        </w:rPr>
        <w:t xml:space="preserve">Behaviour Research and Therapy</w:t>
      </w:r>
      <w:r>
        <w:t xml:space="preserve"> </w:t>
      </w:r>
      <w:r>
        <w:t xml:space="preserve">116 (May): 69–79.</w:t>
      </w:r>
      <w:r>
        <w:t xml:space="preserve"> </w:t>
      </w:r>
      <w:hyperlink r:id="rId81">
        <w:r>
          <w:rPr>
            <w:rStyle w:val="Hyperlink"/>
          </w:rPr>
          <w:t xml:space="preserve">https://doi.org/10.1016/j.brat.2019.01.010</w:t>
        </w:r>
      </w:hyperlink>
      <w:r>
        <w:t xml:space="preserve">.</w:t>
      </w:r>
    </w:p>
    <w:bookmarkEnd w:id="82"/>
    <w:bookmarkStart w:id="83" w:name="ref-gabryPriorDistributionsRstanarm2023"/>
    <w:p>
      <w:pPr>
        <w:pStyle w:val="Bibliography"/>
      </w:pPr>
      <w:r>
        <w:t xml:space="preserve">Gabry, Jonah, and Ben Goodrich. 2023.</w:t>
      </w:r>
      <w:r>
        <w:t xml:space="preserve"> </w:t>
      </w:r>
      <w:r>
        <w:t xml:space="preserve">“Prior</w:t>
      </w:r>
      <w:r>
        <w:t xml:space="preserve"> </w:t>
      </w:r>
      <w:r>
        <w:t xml:space="preserve">Distributions</w:t>
      </w:r>
      <w:r>
        <w:t xml:space="preserve"> </w:t>
      </w:r>
      <w:r>
        <w:t xml:space="preserve">for Rstanarm</w:t>
      </w:r>
      <w:r>
        <w:t xml:space="preserve"> </w:t>
      </w:r>
      <w:r>
        <w:t xml:space="preserve">Models</w:t>
      </w:r>
      <w:r>
        <w:t xml:space="preserve">.”</w:t>
      </w:r>
      <w:r>
        <w:t xml:space="preserve"> </w:t>
      </w:r>
      <w:r>
        <w:rPr>
          <w:i/>
          <w:iCs/>
        </w:rPr>
        <w:t xml:space="preserve">CRAN R-Project</w:t>
      </w:r>
      <w:r>
        <w:t xml:space="preserve">. https://cran.r-project.org/web/packages/rstanarm/vignettes/priors.html.</w:t>
      </w:r>
    </w:p>
    <w:bookmarkEnd w:id="83"/>
    <w:bookmarkStart w:id="84" w:name="ref-goodrichRstanarmBayesianApplied2023"/>
    <w:p>
      <w:pPr>
        <w:pStyle w:val="Bibliography"/>
      </w:pPr>
      <w:r>
        <w:t xml:space="preserve">Goodrich, Ben, Jonah Gabry, Imad Ali, and Sam Brilleman. 2023.</w:t>
      </w:r>
      <w:r>
        <w:t xml:space="preserve"> </w:t>
      </w:r>
      <w:r>
        <w:t xml:space="preserve">“Rstanarm:</w:t>
      </w:r>
      <w:r>
        <w:t xml:space="preserve"> </w:t>
      </w:r>
      <w:r>
        <w:t xml:space="preserve">Bayesian Applied Regression Modeling</w:t>
      </w:r>
      <w:r>
        <w:t xml:space="preserve"> </w:t>
      </w:r>
      <w:r>
        <w:t xml:space="preserve">via</w:t>
      </w:r>
      <w:r>
        <w:t xml:space="preserve"> </w:t>
      </w:r>
      <w:r>
        <w:t xml:space="preserve">Stan</w:t>
      </w:r>
      <w:r>
        <w:t xml:space="preserve">.”</w:t>
      </w:r>
    </w:p>
    <w:bookmarkEnd w:id="84"/>
    <w:bookmarkStart w:id="86"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85">
        <w:r>
          <w:rPr>
            <w:rStyle w:val="Hyperlink"/>
          </w:rPr>
          <w:t xml:space="preserve">https://doi.org/10.1016/j.drugalcdep.2006.05.012</w:t>
        </w:r>
      </w:hyperlink>
      <w:r>
        <w:t xml:space="preserve">.</w:t>
      </w:r>
    </w:p>
    <w:bookmarkEnd w:id="86"/>
    <w:bookmarkStart w:id="87"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87"/>
    <w:bookmarkStart w:id="89" w:name="X305ed1b6c97f878fcc6b9e2dc29ff342edd2275"/>
    <w:p>
      <w:pPr>
        <w:pStyle w:val="Bibliography"/>
      </w:pPr>
      <w:r>
        <w:t xml:space="preserve">Jones, Andrew, Danielle Remmerswaal, Ilse Verveer, Eric Robinson, Ingmar H. A. Franken, Cheng K. Fred Wen, and Matt Field. 2019.</w:t>
      </w:r>
      <w:r>
        <w:t xml:space="preserve"> </w:t>
      </w:r>
      <w:r>
        <w:t xml:space="preserve">“Compliance with Ecological Momentary Assessment Protocols in Substance Users: A Meta-Analysis.”</w:t>
      </w:r>
      <w:r>
        <w:t xml:space="preserve"> </w:t>
      </w:r>
      <w:r>
        <w:rPr>
          <w:i/>
          <w:iCs/>
        </w:rPr>
        <w:t xml:space="preserve">Addiction (Abingdon, England)</w:t>
      </w:r>
      <w:r>
        <w:t xml:space="preserve"> </w:t>
      </w:r>
      <w:r>
        <w:t xml:space="preserve">114 (4): 609–19.</w:t>
      </w:r>
      <w:r>
        <w:t xml:space="preserve"> </w:t>
      </w:r>
      <w:hyperlink r:id="rId88">
        <w:r>
          <w:rPr>
            <w:rStyle w:val="Hyperlink"/>
          </w:rPr>
          <w:t xml:space="preserve">https://doi.org/gfsjzg</w:t>
        </w:r>
      </w:hyperlink>
      <w:r>
        <w:t xml:space="preserve">.</w:t>
      </w:r>
    </w:p>
    <w:bookmarkEnd w:id="89"/>
    <w:bookmarkStart w:id="91"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90">
        <w:r>
          <w:rPr>
            <w:rStyle w:val="Hyperlink"/>
          </w:rPr>
          <w:t xml:space="preserve">https://doi.org/10.1001/jamanetworkopen.2020.5852</w:t>
        </w:r>
      </w:hyperlink>
      <w:r>
        <w:t xml:space="preserve">.</w:t>
      </w:r>
    </w:p>
    <w:bookmarkEnd w:id="91"/>
    <w:bookmarkStart w:id="92" w:name="Xa93a98d1ce255982a5ea923c39451c32053b2a2"/>
    <w:p>
      <w:pPr>
        <w:pStyle w:val="Bibliography"/>
      </w:pPr>
      <w:r>
        <w:t xml:space="preserve">Kuhn, Max. 2022.</w:t>
      </w:r>
      <w:r>
        <w:t xml:space="preserve"> </w:t>
      </w:r>
      <w:r>
        <w:t xml:space="preserve">“Tidyposterior:</w:t>
      </w:r>
      <w:r>
        <w:t xml:space="preserve"> </w:t>
      </w:r>
      <w:r>
        <w:t xml:space="preserve">Bayesian Analysis</w:t>
      </w:r>
      <w:r>
        <w:t xml:space="preserve"> </w:t>
      </w:r>
      <w:r>
        <w:t xml:space="preserve">to</w:t>
      </w:r>
      <w:r>
        <w:t xml:space="preserve"> </w:t>
      </w:r>
      <w:r>
        <w:t xml:space="preserve">Compare Models</w:t>
      </w:r>
      <w:r>
        <w:t xml:space="preserve"> </w:t>
      </w:r>
      <w:r>
        <w:t xml:space="preserve">Using</w:t>
      </w:r>
      <w:r>
        <w:t xml:space="preserve"> </w:t>
      </w:r>
      <w:r>
        <w:t xml:space="preserve">Resampling Statistics</w:t>
      </w:r>
      <w:r>
        <w:t xml:space="preserve">.”</w:t>
      </w:r>
    </w:p>
    <w:bookmarkEnd w:id="92"/>
    <w:bookmarkStart w:id="94"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93">
        <w:r>
          <w:rPr>
            <w:rStyle w:val="Hyperlink"/>
          </w:rPr>
          <w:t xml:space="preserve">https://doi.org/10.1007/978-1-4614-6849-3</w:t>
        </w:r>
      </w:hyperlink>
      <w:r>
        <w:t xml:space="preserve">.</w:t>
      </w:r>
    </w:p>
    <w:bookmarkEnd w:id="94"/>
    <w:bookmarkStart w:id="95"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95"/>
    <w:bookmarkStart w:id="97"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96">
        <w:r>
          <w:rPr>
            <w:rStyle w:val="Hyperlink"/>
          </w:rPr>
          <w:t xml:space="preserve">https://doi.org/10.1214/17-EJS1338SI</w:t>
        </w:r>
      </w:hyperlink>
      <w:r>
        <w:t xml:space="preserve">.</w:t>
      </w:r>
    </w:p>
    <w:bookmarkEnd w:id="97"/>
    <w:bookmarkStart w:id="98"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98"/>
    <w:bookmarkStart w:id="99"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99"/>
    <w:bookmarkStart w:id="100" w:name="ref-mba2024FederalPoverty2024"/>
    <w:p>
      <w:pPr>
        <w:pStyle w:val="Bibliography"/>
      </w:pPr>
      <w:r>
        <w:t xml:space="preserve">MBA, Tony Bartels, DVM. 2024.</w:t>
      </w:r>
      <w:r>
        <w:t xml:space="preserve"> </w:t>
      </w:r>
      <w:r>
        <w:t xml:space="preserve">“2024</w:t>
      </w:r>
      <w:r>
        <w:t xml:space="preserve"> </w:t>
      </w:r>
      <w:r>
        <w:t xml:space="preserve">Federal Poverty Rates Published</w:t>
      </w:r>
      <w:r>
        <w:t xml:space="preserve">:</w:t>
      </w:r>
      <w:r>
        <w:t xml:space="preserve"> </w:t>
      </w:r>
      <w:r>
        <w:t xml:space="preserve">Why</w:t>
      </w:r>
      <w:r>
        <w:t xml:space="preserve"> </w:t>
      </w:r>
      <w:r>
        <w:t xml:space="preserve">That Matters for Your Student Loans.”</w:t>
      </w:r>
      <w:r>
        <w:t xml:space="preserve"> </w:t>
      </w:r>
      <w:r>
        <w:rPr>
          <w:i/>
          <w:iCs/>
        </w:rPr>
        <w:t xml:space="preserve">VIN Foundation</w:t>
      </w:r>
      <w:r>
        <w:t xml:space="preserve">. https://vinfoundation.org/2024-federal-poverty-rates-published-why-that-matters-for-your-student-loans/.</w:t>
      </w:r>
    </w:p>
    <w:bookmarkEnd w:id="100"/>
    <w:bookmarkStart w:id="102" w:name="X1f44e09282148d362bdacfce67d6a56b1cf06db"/>
    <w:p>
      <w:pPr>
        <w:pStyle w:val="Bibliography"/>
      </w:pPr>
      <w:r>
        <w:t xml:space="preserve">Moshontz, Hannah, Alejandra J. Colmenares, Gaylen E. Fronk, Sarah J. Sant’Ana, Kendra Wyant, Susan E. Wanta, Adam Maus, David H. Gustafson Jr, Dhavan Shah, and John J. Curtin. 2021.</w:t>
      </w:r>
      <w:r>
        <w:t xml:space="preserve"> </w:t>
      </w:r>
      <w:r>
        <w:t xml:space="preserve">“Prospective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 </w:t>
      </w:r>
      <w:r>
        <w:t xml:space="preserve">10 (12): e29563.</w:t>
      </w:r>
      <w:r>
        <w:t xml:space="preserve"> </w:t>
      </w:r>
      <w:hyperlink r:id="rId101">
        <w:r>
          <w:rPr>
            <w:rStyle w:val="Hyperlink"/>
          </w:rPr>
          <w:t xml:space="preserve">https://doi.org/10.2196/29563</w:t>
        </w:r>
      </w:hyperlink>
      <w:r>
        <w:t xml:space="preserve">.</w:t>
      </w:r>
    </w:p>
    <w:bookmarkEnd w:id="102"/>
    <w:bookmarkStart w:id="104"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103">
        <w:r>
          <w:rPr>
            <w:rStyle w:val="Hyperlink"/>
          </w:rPr>
          <w:t xml:space="preserve">https://doi.org/10.1016/j.jsat.2021.108710</w:t>
        </w:r>
      </w:hyperlink>
      <w:r>
        <w:t xml:space="preserve">.</w:t>
      </w:r>
    </w:p>
    <w:bookmarkEnd w:id="104"/>
    <w:bookmarkStart w:id="106"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105">
        <w:r>
          <w:rPr>
            <w:rStyle w:val="Hyperlink"/>
          </w:rPr>
          <w:t xml:space="preserve">https://doi.org/10.1016/j.drugalcdep.2019.05.017</w:t>
        </w:r>
      </w:hyperlink>
      <w:r>
        <w:t xml:space="preserve">.</w:t>
      </w:r>
    </w:p>
    <w:bookmarkEnd w:id="106"/>
    <w:bookmarkStart w:id="107"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107"/>
    <w:bookmarkStart w:id="108" w:name="X93e79e1a5ab79bb153842a6d1ed7d5e5cb3185f"/>
    <w:p>
      <w:pPr>
        <w:pStyle w:val="Bibliography"/>
      </w:pPr>
      <w:r>
        <w:t xml:space="preserve">RStudio Team. 2020.</w:t>
      </w:r>
      <w:r>
        <w:t xml:space="preserve"> </w:t>
      </w:r>
      <w:r>
        <w:t xml:space="preserve">“</w:t>
      </w:r>
      <w:r>
        <w:t xml:space="preserve">RStudio</w:t>
      </w:r>
      <w:r>
        <w:t xml:space="preserve">:</w:t>
      </w:r>
      <w:r>
        <w:t xml:space="preserve"> </w:t>
      </w:r>
      <w:r>
        <w:t xml:space="preserve">Integrated Development</w:t>
      </w:r>
      <w:r>
        <w:t xml:space="preserve"> </w:t>
      </w:r>
      <w:r>
        <w:t xml:space="preserve">for</w:t>
      </w:r>
      <w:r>
        <w:t xml:space="preserve"> </w:t>
      </w:r>
      <w:r>
        <w:t xml:space="preserve">R</w:t>
      </w:r>
      <w:r>
        <w:t xml:space="preserve">.”</w:t>
      </w:r>
      <w:r>
        <w:t xml:space="preserve"> </w:t>
      </w:r>
      <w:r>
        <w:t xml:space="preserve">Boston, MA: RStudio, Inc.</w:t>
      </w:r>
    </w:p>
    <w:bookmarkEnd w:id="108"/>
    <w:bookmarkStart w:id="11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109">
        <w:r>
          <w:rPr>
            <w:rStyle w:val="Hyperlink"/>
          </w:rPr>
          <w:t xml:space="preserve">https://doi.org/10.1037/adb0000666</w:t>
        </w:r>
      </w:hyperlink>
      <w:r>
        <w:t xml:space="preserve">.</w:t>
      </w:r>
    </w:p>
    <w:bookmarkEnd w:id="110"/>
    <w:bookmarkStart w:id="11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111">
        <w:r>
          <w:rPr>
            <w:rStyle w:val="Hyperlink"/>
          </w:rPr>
          <w:t xml:space="preserve">https://doi.org/10.1016/j.jsat.2021.108417</w:t>
        </w:r>
      </w:hyperlink>
      <w:r>
        <w:t xml:space="preserve">.</w:t>
      </w:r>
    </w:p>
    <w:bookmarkEnd w:id="112"/>
    <w:bookmarkStart w:id="11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113">
        <w:r>
          <w:rPr>
            <w:rStyle w:val="Hyperlink"/>
          </w:rPr>
          <w:t xml:space="preserve">https://doi.org/10.1037/0003-066X.59.4.224</w:t>
        </w:r>
      </w:hyperlink>
      <w:r>
        <w:t xml:space="preserve">.</w:t>
      </w:r>
    </w:p>
    <w:bookmarkEnd w:id="114"/>
    <w:bookmarkStart w:id="11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115">
        <w:r>
          <w:rPr>
            <w:rStyle w:val="Hyperlink"/>
          </w:rPr>
          <w:t xml:space="preserve">https://doi.org/10.1016/j.cpr.2007.01.002</w:t>
        </w:r>
      </w:hyperlink>
      <w:r>
        <w:t xml:space="preserve">.</w:t>
      </w:r>
    </w:p>
    <w:bookmarkEnd w:id="116"/>
    <w:bookmarkStart w:id="118" w:name="X62c2bccfcb3c64764f794751dcac0a3c1c7edc5"/>
    <w:p>
      <w:pPr>
        <w:pStyle w:val="Bibliography"/>
      </w:pPr>
      <w:r>
        <w:t xml:space="preserve">Wright, Aidan G. C., and Johannes Zimmermann. 2019.</w:t>
      </w:r>
      <w:r>
        <w:t xml:space="preserve"> </w:t>
      </w:r>
      <w:r>
        <w:t xml:space="preserve">“Applied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 </w:t>
      </w:r>
      <w:r>
        <w:t xml:space="preserve">31 (12): 1467–80.</w:t>
      </w:r>
      <w:r>
        <w:t xml:space="preserve"> </w:t>
      </w:r>
      <w:hyperlink r:id="rId117">
        <w:r>
          <w:rPr>
            <w:rStyle w:val="Hyperlink"/>
          </w:rPr>
          <w:t xml:space="preserve">https://doi.org/10.1037/pas0000685</w:t>
        </w:r>
      </w:hyperlink>
      <w:r>
        <w:t xml:space="preserve">.</w:t>
      </w:r>
    </w:p>
    <w:bookmarkEnd w:id="118"/>
    <w:bookmarkStart w:id="120"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119">
        <w:r>
          <w:rPr>
            <w:rStyle w:val="Hyperlink"/>
          </w:rPr>
          <w:t xml:space="preserve">https://doi.org/10.2196/41833</w:t>
        </w:r>
      </w:hyperlink>
      <w:r>
        <w:t xml:space="preserve">.</w:t>
      </w:r>
    </w:p>
    <w:bookmarkEnd w:id="120"/>
    <w:bookmarkStart w:id="122" w:name="ref-wyantMachineLearningModels2023"/>
    <w:p>
      <w:pPr>
        <w:pStyle w:val="Bibliography"/>
      </w:pPr>
      <w:r>
        <w:t xml:space="preserve">Wyant, Kendra, Sarah June Kittleson Sant’Ana, Gaylen Fronk, and John J. Curtin. 2024.</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w:t>
      </w:r>
      <w:r>
        <w:t xml:space="preserve"> </w:t>
      </w:r>
      <w:hyperlink r:id="rId121">
        <w:r>
          <w:rPr>
            <w:rStyle w:val="Hyperlink"/>
          </w:rPr>
          <w:t xml:space="preserve">https://doi.org/10.31234/osf.io/cgsf7</w:t>
        </w:r>
      </w:hyperlink>
      <w:r>
        <w:t xml:space="preserve">.</w:t>
      </w:r>
    </w:p>
    <w:bookmarkEnd w:id="122"/>
    <w:bookmarkEnd w:id="123"/>
    <w:bookmarkEnd w:id="124"/>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9">
    <w:p>
      <w:pPr>
        <w:pStyle w:val="FootnoteText"/>
      </w:pPr>
      <w:r>
        <w:rPr>
          <w:rStyle w:val="FootnoteReference"/>
        </w:rPr>
        <w:footnoteRef/>
      </w:r>
      <w:r>
        <w:t xml:space="preserve"> </w:t>
      </w:r>
      <w:r>
        <w:t xml:space="preserve">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footnote>
  <w:footnote w:id="41">
    <w:p>
      <w:pPr>
        <w:pStyle w:val="FootnoteText"/>
      </w:pPr>
      <w:r>
        <w:rPr>
          <w:rStyle w:val="FootnoteReference"/>
        </w:rPr>
        <w:footnoteRef/>
      </w:r>
      <w:r>
        <w:t xml:space="preserve"> </w:t>
      </w:r>
      <w:r>
        <w:t xml:space="preserve">The poverty cutoff was defined from the 2024 federal poverty line for the 48 continguous United States. Participants at or below $1560 annual income were categorized as below poverty.</w:t>
      </w:r>
      <w:r>
        <w:t xml:space="preserve">(MBA 2024)</w:t>
      </w:r>
    </w:p>
  </w:footnote>
  <w:footnote w:id="42">
    <w:p>
      <w:pPr>
        <w:pStyle w:val="FootnoteText"/>
      </w:pPr>
      <w:r>
        <w:rPr>
          <w:rStyle w:val="FootnoteReference"/>
        </w:rPr>
        <w:footnoteRef/>
      </w:r>
      <w:r>
        <w:t xml:space="preserve"> </w:t>
      </w:r>
      <w:r>
        <w:t xml:space="preserve">For our fairness analyses,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 w:id="51">
    <w:p>
      <w:pPr>
        <w:pStyle w:val="FootnoteText"/>
      </w:pPr>
      <w:r>
        <w:rPr>
          <w:rStyle w:val="FootnoteReference"/>
        </w:rPr>
        <w:footnoteRef/>
      </w:r>
      <w:r>
        <w:t xml:space="preserve"> </w:t>
      </w:r>
      <w:r>
        <w:t xml:space="preserve">Baseline models in our previous study yielded a median auROC of .895. These models inadvertently excluded income and employment as features. We reran models to include these features in the current study.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29" Target="media/rId29.jpg" /><Relationship Type="http://schemas.openxmlformats.org/officeDocument/2006/relationships/image" Id="rId62" Target="media/rId62.png" /><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01/jamanetworkopen.2020.5852" TargetMode="External" /><Relationship Type="http://schemas.openxmlformats.org/officeDocument/2006/relationships/hyperlink" Id="rId93" Target="https://doi.org/10.1007/978-1-4614-6849-3" TargetMode="External" /><Relationship Type="http://schemas.openxmlformats.org/officeDocument/2006/relationships/hyperlink" Id="rId73" Target="https://doi.org/10.1016/j.addbeh.2017.11.039" TargetMode="External" /><Relationship Type="http://schemas.openxmlformats.org/officeDocument/2006/relationships/hyperlink" Id="rId81" Target="https://doi.org/10.1016/j.brat.2019.01.010" TargetMode="External" /><Relationship Type="http://schemas.openxmlformats.org/officeDocument/2006/relationships/hyperlink" Id="rId79" Target="https://doi.org/10.1016/j.brat.2019.103506" TargetMode="External" /><Relationship Type="http://schemas.openxmlformats.org/officeDocument/2006/relationships/hyperlink" Id="rId115" Target="https://doi.org/10.1016/j.cpr.2007.01.002" TargetMode="External" /><Relationship Type="http://schemas.openxmlformats.org/officeDocument/2006/relationships/hyperlink" Id="rId85" Target="https://doi.org/10.1016/j.drugalcdep.2006.05.012" TargetMode="External" /><Relationship Type="http://schemas.openxmlformats.org/officeDocument/2006/relationships/hyperlink" Id="rId105" Target="https://doi.org/10.1016/j.drugalcdep.2019.05.017" TargetMode="External" /><Relationship Type="http://schemas.openxmlformats.org/officeDocument/2006/relationships/hyperlink" Id="rId77" Target="https://doi.org/10.1016/j.jsat.2013.08.004" TargetMode="External" /><Relationship Type="http://schemas.openxmlformats.org/officeDocument/2006/relationships/hyperlink" Id="rId111" Target="https://doi.org/10.1016/j.jsat.2021.108417" TargetMode="External" /><Relationship Type="http://schemas.openxmlformats.org/officeDocument/2006/relationships/hyperlink" Id="rId103" Target="https://doi.org/10.1016/j.jsat.2021.108710" TargetMode="External" /><Relationship Type="http://schemas.openxmlformats.org/officeDocument/2006/relationships/hyperlink" Id="rId113" Target="https://doi.org/10.1037/0003-066X.59.4.224" TargetMode="External" /><Relationship Type="http://schemas.openxmlformats.org/officeDocument/2006/relationships/hyperlink" Id="rId109" Target="https://doi.org/10.1037/adb0000666" TargetMode="External" /><Relationship Type="http://schemas.openxmlformats.org/officeDocument/2006/relationships/hyperlink" Id="rId117" Target="https://doi.org/10.1037/pas0000685" TargetMode="External" /><Relationship Type="http://schemas.openxmlformats.org/officeDocument/2006/relationships/hyperlink" Id="rId96" Target="https://doi.org/10.1214/17-EJS1338SI" TargetMode="External" /><Relationship Type="http://schemas.openxmlformats.org/officeDocument/2006/relationships/hyperlink" Id="rId75" Target="https://doi.org/10.21231/GNT1-HW21" TargetMode="External" /><Relationship Type="http://schemas.openxmlformats.org/officeDocument/2006/relationships/hyperlink" Id="rId101" Target="https://doi.org/10.2196/29563" TargetMode="External" /><Relationship Type="http://schemas.openxmlformats.org/officeDocument/2006/relationships/hyperlink" Id="rId119" Target="https://doi.org/10.2196/41833" TargetMode="External" /><Relationship Type="http://schemas.openxmlformats.org/officeDocument/2006/relationships/hyperlink" Id="rId121" Target="https://doi.org/10.31234/osf.io/cgsf7" TargetMode="External" /><Relationship Type="http://schemas.openxmlformats.org/officeDocument/2006/relationships/hyperlink" Id="rId88" Target="https://doi.org/gfsjzg" TargetMode="External" /><Relationship Type="http://schemas.openxmlformats.org/officeDocument/2006/relationships/hyperlink" Id="rId20" Target="https://jjcurtin.github.io/study_lag/index.qmd.html" TargetMode="External" /><Relationship Type="http://schemas.openxmlformats.org/officeDocument/2006/relationships/hyperlink" Id="rId56" Target="https://jjcurtin.github.io/study_lag/notebooks\mak_figures-preview.html#cell-fig-1" TargetMode="External" /><Relationship Type="http://schemas.openxmlformats.org/officeDocument/2006/relationships/hyperlink" Id="rId33" Target="https://jjcurtin.github.io/study_lag/notebooks\mak_figures-preview.html#cell-fig-methods" TargetMode="External" /><Relationship Type="http://schemas.openxmlformats.org/officeDocument/2006/relationships/hyperlink" Id="rId66" Target="https://jjcurtin.github.io/study_lag/notebooks\mak_figures-preview.html#cell-fig-shap" TargetMode="External" /><Relationship Type="http://schemas.openxmlformats.org/officeDocument/2006/relationships/hyperlink" Id="rId49"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2024-09-02T16:06:12Z</dcterms:created>
  <dcterms:modified xsi:type="dcterms:W3CDTF">2024-09-02T16:06:12Z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evaluated the performance of a model predicting immediate alcohol lapses and models with increasing lag time between the prediction time points and start of the prediction window (24, 72, 168, or 336 hour lag). Model features were engineered from 4x daily ecological momentary assessment. Participants (N =151; 51% male; mean age= 41; 87% White, 97% Non-Hispanic) were in early recovery from alcohol use disorder and provided data for up to three months. We used nested cross-validation to select and evaluate the best models. Median auROCs were high across models (range = 0.85 – 0.89). All lagged models performed significantly worse than the 0 lag model (probabilities &gt; .95). Comparisons between adjacent lags revealed significant differences between 24 and 72 hour lag models and 168 and 336 hour lag models. All models performed significantly worse for minority groups (not White vs. non-Hispanic White, below poverty vs. above poverty, female vs. male).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2024-09-02</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