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w:t>
      </w:r>
      <w:r>
        <w:t xml:space="preserve"> </w:t>
      </w:r>
      <w:r>
        <w:rPr>
          <w:b/>
          <w:bCs/>
        </w:rPr>
        <w:t xml:space="preserve">?@fig-auroc</w:t>
      </w:r>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rPr>
          <w:b/>
          <w:bCs/>
        </w:rPr>
        <w:t xml:space="preserve">?@fig-fairness</w:t>
      </w:r>
      <w:r>
        <w:t xml:space="preserve"> </w:t>
      </w:r>
      <w:r>
        <w:t xml:space="preserve">shows the difference in performance of each model by demographic group. All group comparisons for race, sex at birth, and income were significant (probability &gt; .95) across models. On average there was a median increase in auROC of NA (range NA-NA) for non-Hispanic White participants compared to participants who were not White. On average there was a median increase in auROC of NA (range NA-NA) for male participants compared to female participants. On average there was a median increase in auROC of NA (range NA-NA)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2024-07-29T19:45:35Z</dcterms:created>
  <dcterms:modified xsi:type="dcterms:W3CDTF">2024-07-29T19:45:35Z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