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67.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2024-06-04</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cessation.</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smoking</w:t>
      </w:r>
      <w:r>
        <w:t xml:space="preserve"> </w:t>
      </w:r>
      <w:r>
        <w:t xml:space="preserve">cessation</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0.695</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XX,</w:t>
      </w:r>
      <w:r>
        <w:t xml:space="preserve"> </w:t>
      </w:r>
      <w:r>
        <w:t xml:space="preserve">p</w:t>
      </w:r>
      <w:r>
        <w:t xml:space="preserve"> </w:t>
      </w:r>
      <w:r>
        <w:t xml:space="preserve">=</w:t>
      </w:r>
      <w:r>
        <w:t xml:space="preserve"> </w:t>
      </w:r>
      <w:r>
        <w:t xml:space="preserve">0.004).</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6"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the U.S. in 2022, over 59 million individuals aged 12 or older had a mental health disorder, and over 48 million people had a substance use disorder</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Psychiatric disorders account for enormous economic burden; indeed, some estimates suggest higher even than chronic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 Among medication treatments, there is equal effectiveness across common antidepressants including sertraline, fluoxetine, and escitalopram</w:t>
      </w:r>
      <w:r>
        <w:t xml:space="preserve"> </w:t>
      </w:r>
      <w:r>
        <w:t xml:space="preserve">(Adjei and Ali 2022)</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effectiveness.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look to other categories of features such as demographic characteristics, psychological traits, and environmental variables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characteristics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so far, however, have largely focused on tailoring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response.</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quite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In these ways,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0"/>
    <w:bookmarkStart w:id="25" w:name="X710190bb6557026560d2a85fd9e9b06af0a1413"/>
    <w:p>
      <w:pPr>
        <w:pStyle w:val="Heading3"/>
      </w:pPr>
      <w:r>
        <w:t xml:space="preserve">Cigarette smoking as a critical precision mental health target</w:t>
      </w:r>
    </w:p>
    <w:bookmarkStart w:id="21"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among individuals 12 and older, this constitutes more than 24 million people</w:t>
      </w:r>
      <w:r>
        <w:t xml:space="preserve"> </w:t>
      </w:r>
      <w:r>
        <w:t xml:space="preserve">(Substance Abuse and Mental Health Services Administration 2023)</w:t>
      </w:r>
      <w:r>
        <w:t xml:space="preserve"> </w:t>
      </w:r>
      <w:r>
        <w:t xml:space="preserve">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legal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1"/>
    <w:bookmarkStart w:id="22" w:name="smoking-cessation-treatment"/>
    <w:p>
      <w:pPr>
        <w:pStyle w:val="Heading4"/>
      </w:pPr>
      <w:r>
        <w:t xml:space="preserve">Smoking cessation treatment</w:t>
      </w:r>
    </w:p>
    <w:p>
      <w:pPr>
        <w:pStyle w:val="FirstParagraph"/>
      </w:pPr>
      <w:r>
        <w:t xml:space="preserve">Despite the severity of the problem, smoking cessation treatment has had relatively limited reach</w:t>
      </w:r>
      <w:r>
        <w:t xml:space="preserve"> </w:t>
      </w:r>
      <w:r>
        <w:t xml:space="preserve">(Baker and McCarthy 2021)</w:t>
      </w:r>
      <w:r>
        <w:t xml:space="preserve">. A survey of almost 16000 US adults who use cigarettes showed that, by far, the most commonly used strategies to quit were giving up cigarettes all at once and gradually cutting back, with a much smaller proportion using evidence-based treatments</w:t>
      </w:r>
      <w:r>
        <w:t xml:space="preserve"> </w:t>
      </w:r>
      <w:r>
        <w:t xml:space="preserve">(Caraballo 2017)</w:t>
      </w:r>
      <w:r>
        <w:t xml:space="preserve">.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2"/>
    <w:bookmarkStart w:id="23"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Although this research has exciting implications for selecting among treatments, using biologic and genetic factors comes with downsides when considering accessibility and implementation. Though the necessary technology is improving,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w:t>
      </w:r>
      <w:r>
        <w:t xml:space="preserve"> </w:t>
      </w:r>
      <w:r>
        <w:t xml:space="preserve">(Siegel et al. 2020)</w:t>
      </w:r>
      <w:r>
        <w:t xml:space="preserve">.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data,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r>
        <w:t xml:space="preserve"> </w:t>
      </w:r>
    </w:p>
    <w:bookmarkEnd w:id="23"/>
    <w:bookmarkStart w:id="24" w:name="X2fac9db036279c8e355cb939a074f5754add6cd"/>
    <w:p>
      <w:pPr>
        <w:pStyle w:val="Heading4"/>
      </w:pPr>
      <w:r>
        <w:t xml:space="preserve">Opportunities for differential treatment selection</w:t>
      </w:r>
    </w:p>
    <w:p>
      <w:pPr>
        <w:pStyle w:val="FirstParagraph"/>
      </w:pPr>
      <w:r>
        <w:t xml:space="preserve">Although there is not yet much research selecting among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response.</w:t>
      </w:r>
    </w:p>
    <w:p>
      <w:pPr>
        <w:pStyle w:val="BodyText"/>
      </w:pPr>
      <w:r>
        <w:t xml:space="preserve">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(e.g., nicotine patch alone) despite its higher effectiveness in the broader population</w:t>
      </w:r>
      <w:r>
        <w:t xml:space="preserve"> </w:t>
      </w:r>
      <w:r>
        <w:t xml:space="preserve">(Cahill et al. 2013)</w:t>
      </w:r>
      <w:r>
        <w:t xml:space="preserve">; instead this multi-component treatment may feel overwhelming, reducing adherence and ultimate effectiveness. Some smokers may be prone to side effects from a specific treatment, causing them to discontinue treatment prematurely,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effectiveness</w:t>
      </w:r>
      <w:r>
        <w:t xml:space="preserve"> </w:t>
      </w:r>
      <w:r>
        <w:t xml:space="preserve">(Siegel et al. 2020)</w:t>
      </w:r>
      <w:r>
        <w:t xml:space="preserve">.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p>
      <w:pPr>
        <w:pStyle w:val="BodyText"/>
      </w:pPr>
      <w:r>
        <w:t xml:space="preserve">In summary, many opportunities exist for differential treatment selection among smoking cessation treatments. Pharmacological and behavioral characteristics may guide selection alone or interaction with one another. The factors that previous research has identified that can predict smoking cessation success may interact with specific treatment effects to guide selection, and unanticipated features or interactions may also come to light. Using machine learning analytic techniques allows us to explore these many categories of features simultaneously to capture the many, small effects that may combine to permit treatment selection.</w:t>
      </w:r>
    </w:p>
    <w:bookmarkEnd w:id="24"/>
    <w:bookmarkEnd w:id="25"/>
    <w:bookmarkEnd w:id="26"/>
    <w:bookmarkStart w:id="27"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smoking cessation treatment success (i.e., point-prevalence abstinence) at 4 weeks post-quit. This model used retrospective data from a previously completed comparative effectiveness trial wherein individuals who smoke were randomized to treatments, richly characterized at baseline, and followed to assess short- and long-term abstinence</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7"/>
    <w:bookmarkStart w:id="59" w:name="methods"/>
    <w:p>
      <w:pPr>
        <w:pStyle w:val="Heading2"/>
      </w:pPr>
      <w:r>
        <w:t xml:space="preserve">Methods</w:t>
      </w:r>
    </w:p>
    <w:bookmarkStart w:id="29"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8">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28">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9"/>
    <w:bookmarkStart w:id="4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0"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0"/>
    <w:bookmarkStart w:id="41"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tbl-featurespdf"/>
          <w:p>
            <w:pPr>
              <w:jc w:val="center"/>
            </w:pPr>
            <w:pPr>
              <w:jc w:val="start"/>
              <w:spacing w:before="200"/>
              <w:pStyle w:val="ImageCaption"/>
            </w:pPr>
            <w:r>
              <w:t xml:space="preserve">Table 1: Individual Differences</w:t>
            </w:r>
          </w:p>
          <w:tbl>
            <w:tblPr>
              <w:tblStyle w:val="Table"/>
              <w:tblW w:type="pct" w:w="4867"/>
              <w:tblLook w:firstRow="1" w:lastRow="0" w:firstColumn="0" w:lastColumn="0" w:noHBand="0" w:noVBand="0" w:val="0020"/>
              <w:jc w:val="start"/>
              <w:tblLayout w:type="fixed"/>
            </w:tblPr>
            <w:tblGrid>
              <w:gridCol w:w="2745"/>
              <w:gridCol w:w="1478"/>
              <w:gridCol w:w="2323"/>
              <w:gridCol w:w="1161"/>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center"/>
                    <w:jc w:val="center"/>
                  </w:pPr>
                  <w:r>
                    <w:t xml:space="preserve">#</w:t>
                  </w:r>
                  <w:r>
                    <w:t xml:space="preserve"> </w:t>
                  </w:r>
                  <w:r>
                    <w:t xml:space="preserve">Features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center"/>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Marital</w:t>
                  </w:r>
                  <w:r>
                    <w:t xml:space="preserve"> </w:t>
                  </w:r>
                  <w:r>
                    <w:t xml:space="preserve">Status</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Ordinal</w:t>
                  </w:r>
                </w:p>
              </w:tc>
              <w:tc>
                <w:tcPr/>
                <w:p>
                  <w:pPr>
                    <w:pStyle w:val="Compact"/>
                    <w:jc w:val="center"/>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bl>
          <w:bookmarkEnd w:id="31"/>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3" w:name="featurespdf2"/>
    <w:tbl>
      <w:tblPr>
        <w:tblStyle w:val="Table"/>
        <w:tblW w:type="pct" w:w="4909"/>
        <w:tblLook w:firstRow="1" w:lastRow="0" w:firstColumn="0" w:lastColumn="0" w:noHBand="0" w:noVBand="0" w:val="0020"/>
        <w:jc w:val="start"/>
        <w:tblLayout w:type="fixed"/>
      </w:tblPr>
      <w:tblGrid>
        <w:gridCol w:w="1007"/>
        <w:gridCol w:w="4896"/>
        <w:gridCol w:w="1080"/>
        <w:gridCol w:w="792"/>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Dichotomous</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Dichotomous</w:t>
            </w:r>
          </w:p>
        </w:tc>
        <w:tc>
          <w:tcPr/>
          <w:p>
            <w:pPr>
              <w:pStyle w:val="Compact"/>
              <w:jc w:val="center"/>
            </w:pPr>
            <w:r>
              <w:t xml:space="preserve">14</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Dichotomous,</w:t>
            </w:r>
            <w:r>
              <w:t xml:space="preserve"> </w:t>
            </w:r>
            <w:r>
              <w:t xml:space="preserve">Ordinal</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Ordinal</w:t>
            </w:r>
          </w:p>
        </w:tc>
        <w:tc>
          <w:tcPr/>
          <w:p>
            <w:pPr>
              <w:pStyle w:val="Compact"/>
              <w:jc w:val="center"/>
            </w:pPr>
            <w:r>
              <w:t xml:space="preserve">49</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Ordinal</w:t>
            </w:r>
          </w:p>
        </w:tc>
        <w:tc>
          <w:tcPr/>
          <w:p>
            <w:pPr>
              <w:pStyle w:val="Compact"/>
              <w:jc w:val="center"/>
            </w:pPr>
            <w:r>
              <w:t xml:space="preserve">45</w:t>
            </w:r>
          </w:p>
        </w:tc>
      </w:tr>
    </w:tbl>
    <w:bookmarkEnd w:id="33"/>
    <w:p>
      <w:pPr>
        <w:pStyle w:val="BodyText"/>
      </w:pPr>
      <w:r>
        <w:rPr>
          <w:vertAlign w:val="subscript"/>
        </w:rPr>
        <w:t xml:space="preserve">Source:</w:t>
      </w:r>
      <w:r>
        <w:rPr>
          <w:vertAlign w:val="subscript"/>
        </w:rPr>
        <w:t xml:space="preserve"> </w:t>
      </w:r>
      <w:hyperlink r:id="rId34">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5" w:name="featurespdf3-1"/>
    <w:tbl>
      <w:tblPr>
        <w:tblStyle w:val="Table"/>
        <w:tblW w:type="pct" w:w="4872"/>
        <w:tblLook w:firstRow="1" w:lastRow="0" w:firstColumn="0" w:lastColumn="0" w:noHBand="0" w:noVBand="0" w:val="0020"/>
        <w:jc w:val="start"/>
        <w:tblLayout w:type="fixed"/>
      </w:tblPr>
      <w:tblGrid>
        <w:gridCol w:w="2741"/>
        <w:gridCol w:w="2132"/>
        <w:gridCol w:w="1726"/>
        <w:gridCol w:w="1116"/>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Ordinal</w:t>
            </w:r>
          </w:p>
        </w:tc>
        <w:tc>
          <w:tcPr/>
          <w:p>
            <w:pPr>
              <w:pStyle w:val="Compact"/>
              <w:jc w:val="center"/>
            </w:pPr>
            <w:r>
              <w:t xml:space="preserve">2</w:t>
            </w:r>
          </w:p>
        </w:tc>
      </w:tr>
    </w:tbl>
    <w:bookmarkEnd w:id="35"/>
    <w:bookmarkStart w:id="36" w:name="featurespdf3-2"/>
    <w:tbl>
      <w:tblPr>
        <w:tblStyle w:val="Table"/>
        <w:tblW w:type="pct" w:w="4886"/>
        <w:tblLook w:firstRow="1" w:lastRow="0" w:firstColumn="0" w:lastColumn="0" w:noHBand="0" w:noVBand="0" w:val="0020"/>
        <w:jc w:val="start"/>
        <w:tblLayout w:type="fixed"/>
      </w:tblPr>
      <w:tblGrid>
        <w:gridCol w:w="1800"/>
        <w:gridCol w:w="3690"/>
        <w:gridCol w:w="1260"/>
        <w:gridCol w:w="990"/>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Frequency of Drinking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Ordinal</w:t>
            </w:r>
          </w:p>
        </w:tc>
        <w:tc>
          <w:tcPr/>
          <w:p>
            <w:pPr>
              <w:pStyle w:val="Compact"/>
              <w:jc w:val="center"/>
            </w:pPr>
            <w:r>
              <w:t xml:space="preserve">16</w:t>
            </w:r>
          </w:p>
        </w:tc>
      </w:tr>
      <w:tr>
        <w:tc>
          <w:tcPr/>
          <w:p>
            <w:pPr>
              <w:pStyle w:val="Compact"/>
            </w:pPr>
          </w:p>
        </w:tc>
        <w:tc>
          <w:tcPr/>
          <w:p>
            <w:pPr>
              <w:pStyle w:val="Compact"/>
              <w:jc w:val="left"/>
            </w:pPr>
            <w:r>
              <w:t xml:space="preserve">Life Satisfaction</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Dichotomous</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Ordinal</w:t>
            </w:r>
          </w:p>
        </w:tc>
        <w:tc>
          <w:tcPr/>
          <w:p>
            <w:pPr>
              <w:pStyle w:val="Compact"/>
              <w:jc w:val="center"/>
            </w:pPr>
            <w:r>
              <w:t xml:space="preserve">8</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Ordinal</w:t>
            </w:r>
          </w:p>
        </w:tc>
        <w:tc>
          <w:tcPr/>
          <w:p>
            <w:pPr>
              <w:pStyle w:val="Compact"/>
              <w:jc w:val="center"/>
            </w:pPr>
            <w:r>
              <w:t xml:space="preserve">15</w:t>
            </w:r>
          </w:p>
        </w:tc>
      </w:tr>
      <w:tr>
        <w:tc>
          <w:tcPr/>
          <w:p>
            <w:pPr>
              <w:pStyle w:val="Compact"/>
            </w:pPr>
          </w:p>
        </w:tc>
        <w:tc>
          <w:tcPr/>
          <w:p>
            <w:pPr>
              <w:pStyle w:val="Compact"/>
              <w:jc w:val="left"/>
            </w:pPr>
            <w:r>
              <w:t xml:space="preserve">Anxiety Severity Index-3</w:t>
            </w:r>
            <w:r>
              <w:t xml:space="preserve"> </w:t>
            </w:r>
            <w:r>
              <w:t xml:space="preserve">(S. Taylor et al. 2007)</w:t>
            </w:r>
          </w:p>
        </w:tc>
        <w:tc>
          <w:tcPr/>
          <w:p>
            <w:pPr>
              <w:pStyle w:val="Compact"/>
              <w:jc w:val="left"/>
            </w:pPr>
            <w:r>
              <w:t xml:space="preserve">Ordinal</w:t>
            </w:r>
          </w:p>
        </w:tc>
        <w:tc>
          <w:tcPr/>
          <w:p>
            <w:pPr>
              <w:pStyle w:val="Compact"/>
              <w:jc w:val="center"/>
            </w:pPr>
            <w:r>
              <w:t xml:space="preserve">22</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Ordinal</w:t>
            </w:r>
          </w:p>
        </w:tc>
        <w:tc>
          <w:tcPr/>
          <w:p>
            <w:pPr>
              <w:pStyle w:val="Compact"/>
              <w:jc w:val="center"/>
            </w:pPr>
            <w:r>
              <w:t xml:space="preserve">20</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Ordinal</w:t>
            </w:r>
          </w:p>
        </w:tc>
        <w:tc>
          <w:tcPr/>
          <w:p>
            <w:pPr>
              <w:pStyle w:val="Compact"/>
              <w:jc w:val="center"/>
            </w:pPr>
            <w:r>
              <w:t xml:space="preserve">11</w:t>
            </w:r>
          </w:p>
        </w:tc>
      </w:tr>
    </w:tbl>
    <w:bookmarkEnd w:id="36"/>
    <w:p>
      <w:pPr>
        <w:pStyle w:val="BodyText"/>
      </w:pPr>
      <w:r>
        <w:rPr>
          <w:vertAlign w:val="subscript"/>
        </w:rPr>
        <w:t xml:space="preserve">Source:</w:t>
      </w:r>
      <w:r>
        <w:rPr>
          <w:vertAlign w:val="subscript"/>
        </w:rPr>
        <w:t xml:space="preserve"> </w:t>
      </w:r>
      <w:hyperlink r:id="rId37">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8" w:name="featurespdf4-1"/>
    <w:tbl>
      <w:tblPr>
        <w:tblStyle w:val="Table"/>
        <w:tblW w:type="pct" w:w="4886"/>
        <w:tblLook w:firstRow="1" w:lastRow="0" w:firstColumn="0" w:lastColumn="0" w:noHBand="0" w:noVBand="0" w:val="0020"/>
        <w:jc w:val="start"/>
        <w:tblLayout w:type="fixed"/>
      </w:tblPr>
      <w:tblGrid>
        <w:gridCol w:w="1260"/>
        <w:gridCol w:w="4230"/>
        <w:gridCol w:w="1260"/>
        <w:gridCol w:w="990"/>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Diabetes Diagnosis</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Ordinal</w:t>
            </w:r>
          </w:p>
        </w:tc>
        <w:tc>
          <w:tcPr/>
          <w:p>
            <w:pPr>
              <w:pStyle w:val="Compact"/>
              <w:jc w:val="center"/>
            </w:pPr>
            <w:r>
              <w:t xml:space="preserve">26</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Ordinal,</w:t>
            </w:r>
            <w:r>
              <w:t xml:space="preserve"> </w:t>
            </w:r>
            <w:r>
              <w:t xml:space="preserve">Dichotomous</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Ordinal,</w:t>
            </w:r>
            <w:r>
              <w:t xml:space="preserve"> </w:t>
            </w:r>
            <w:r>
              <w:t xml:space="preserve">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38"/>
    <w:bookmarkStart w:id="39" w:name="featurespdf4-2"/>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 Features</w:t>
            </w:r>
          </w:p>
        </w:tc>
      </w:tr>
      <w:tr>
        <w:tc>
          <w:tcPr/>
          <w:p>
            <w:pPr>
              <w:pStyle w:val="Compact"/>
            </w:pPr>
          </w:p>
        </w:tc>
        <w:tc>
          <w:tcPr/>
          <w:p>
            <w:pPr>
              <w:pStyle w:val="Compact"/>
              <w:jc w:val="left"/>
            </w:pPr>
            <w:r>
              <w:t xml:space="preserve">Treatment</w:t>
            </w:r>
          </w:p>
        </w:tc>
        <w:tc>
          <w:tcPr/>
          <w:p>
            <w:pPr>
              <w:pStyle w:val="Compact"/>
              <w:jc w:val="left"/>
            </w:pPr>
            <w:r>
              <w:t xml:space="preserve">Categorical</w:t>
            </w:r>
          </w:p>
        </w:tc>
        <w:tc>
          <w:tcPr/>
          <w:p>
            <w:pPr>
              <w:pStyle w:val="Compact"/>
              <w:jc w:val="center"/>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Dichotomous</w:t>
            </w:r>
          </w:p>
        </w:tc>
        <w:tc>
          <w:tcPr/>
          <w:p>
            <w:pPr>
              <w:pStyle w:val="Compact"/>
              <w:jc w:val="center"/>
            </w:pPr>
            <w:r>
              <w:t xml:space="preserve">1</w:t>
            </w:r>
          </w:p>
        </w:tc>
      </w:tr>
    </w:tbl>
    <w:bookmarkEnd w:id="39"/>
    <w:p>
      <w:pPr>
        <w:pStyle w:val="BodyText"/>
      </w:pPr>
      <w:r>
        <w:rPr>
          <w:vertAlign w:val="subscript"/>
        </w:rPr>
        <w:t xml:space="preserve">Source:</w:t>
      </w:r>
      <w:r>
        <w:rPr>
          <w:vertAlign w:val="subscript"/>
        </w:rPr>
        <w:t xml:space="preserve"> </w:t>
      </w:r>
      <w:hyperlink r:id="rId40">
        <w:r>
          <w:rPr>
            <w:rStyle w:val="Hyperlink"/>
            <w:vertAlign w:val="subscript"/>
          </w:rPr>
          <w:t xml:space="preserve">Make All Tables for Main Manuscript</w:t>
        </w:r>
      </w:hyperlink>
    </w:p>
    <w:bookmarkEnd w:id="41"/>
    <w:bookmarkStart w:id="42"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42"/>
    <w:bookmarkEnd w:id="43"/>
    <w:bookmarkStart w:id="53" w:name="aim-1-analytic-strategy"/>
    <w:p>
      <w:pPr>
        <w:pStyle w:val="Heading3"/>
      </w:pPr>
      <w:r>
        <w:t xml:space="preserve">AIM 1 analytic strategy</w:t>
      </w:r>
    </w:p>
    <w:p>
      <w:pPr>
        <w:pStyle w:val="FirstParagraph"/>
      </w:pPr>
      <w:r>
        <w:t xml:space="preserve">The steps below describe how we built our classification models to predict 4-week point-prevalence abstinence. We also built models predicting 26-week (6 month) point-prevalence abstinence for supplemental analyses; all model fitting and evaluation procedures were identical. Methods and results related to the 26-week (6 month) models appear in the Supplement.</w:t>
      </w:r>
    </w:p>
    <w:bookmarkStart w:id="47"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p>
      <w:pPr>
        <w:pStyle w:val="BodyText"/>
      </w:pPr>
      <w:r>
        <w:t xml:space="preserve">performs best in new data is then identified as the approach that optimizes the bias-variance trade-off.</w:t>
      </w:r>
    </w:p>
    <w:bookmarkStart w:id="44"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variables). This permits considering many interactions that each account for a small portion of variance, which may be necessary to capture the complexity of clinical phenomena.</w:t>
      </w:r>
    </w:p>
    <w:p>
      <w:pPr>
        <w:pStyle w:val="BodyText"/>
      </w:pPr>
      <w:r>
        <w:t xml:space="preserve">Second, GLMNet performs a degree of dimensionality reduction. It penalizes model complexity via two hyperparameters (alpha and lambda) such that features are only retained in the model when their contribution to prediction outweighs the cost of adding another parameter to the model.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pPr>
        <w:pStyle w:val="BodyText"/>
      </w:pPr>
      <w:r>
        <w:t xml:space="preserve">Finally, linear models such as GLMNet are often more interpretable and transparent because they produce parameter estimates for the features in the model. We aimed to prioritize interpretability to avoid a potential barrier to using machine learning approaches for clinical and public health goals</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r>
        <w:t xml:space="preserve"> </w:t>
      </w:r>
    </w:p>
    <w:bookmarkEnd w:id="44"/>
    <w:bookmarkStart w:id="45" w:name="feature-engineering"/>
    <w:p>
      <w:pPr>
        <w:pStyle w:val="Heading5"/>
      </w:pPr>
      <w:r>
        <w:t xml:space="preserve">Feature engineering</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8">
        <w:r>
          <w:rPr>
            <w:rStyle w:val="Hyperlink"/>
          </w:rPr>
          <w:t xml:space="preserve">https://osf.io/qad4n/</w:t>
        </w:r>
      </w:hyperlink>
      <w:r>
        <w:t xml:space="preserve">).</w:t>
      </w:r>
    </w:p>
    <w:p>
      <w:pPr>
        <w:pStyle w:val="BodyText"/>
      </w:pPr>
      <w:r>
        <w:t xml:space="preserve">Our generic feature engineering steps included: 1) imputing missing data (median imputation for numeric features, mode imputation for nominal and ordinal features); 2) removing zero-variance features; 3) using a Yeo-Johnson transformation on all numeric variables to address distributional shape; 4) dummy-coding unordered categorical variables; and 5) normalizing all features (as a requirement of the GLMNet algorithm). Medians/modes for missing data imputation and identification of zero variance features were derived from held-in (training) data and applied to held-out (validation and test) data (see Cross-validation section below). We also allowed treatment (dummy coded) to interact with all other features to permit differential prediction.</w:t>
      </w:r>
    </w:p>
    <w:p>
      <w:pPr>
        <w:pStyle w:val="BodyText"/>
      </w:pPr>
      <w:r>
        <w:t xml:space="preserve">Feature sets differed in two ways across model configurations. First, ordered categorical variables (e.g., Likert scale items on self-report measures) could be ordinal scored (i.e., treated as numeric data) or dummy-coded. Ordinal scoring may decrease variance as it would create fewer features (e.g., single numeric feature ranging from 1 - 7) compared to dummy-coding (e.g., 7 dummy code features for an item with 7 response levels). However, dummy-coding allows for non-linear relationships and thus more flexibility in predictive patterns, potentially decreasing bias. Second, we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Feature sets with items had far more features and allowed for both linear and non-linear relationships between scale constructs and the outcome, decreasing bias. Feature sets with scale scores had fewer features and required linear relationships only, decreasing variance.</w:t>
      </w:r>
    </w:p>
    <w:bookmarkEnd w:id="45"/>
    <w:bookmarkStart w:id="46"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bookmarkEnd w:id="46"/>
    <w:bookmarkEnd w:id="47"/>
    <w:bookmarkStart w:id="51" w:name="model-fitting-selection-evaluation"/>
    <w:p>
      <w:pPr>
        <w:pStyle w:val="Heading4"/>
      </w:pPr>
      <w:r>
        <w:t xml:space="preserve">Model fitting, selection, &amp; evaluation</w:t>
      </w:r>
    </w:p>
    <w:bookmarkStart w:id="48"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48"/>
    <w:bookmarkStart w:id="49" w:name="metrics"/>
    <w:p>
      <w:pPr>
        <w:pStyle w:val="Heading5"/>
      </w:pPr>
      <w:r>
        <w:t xml:space="preserve">Metrics</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and 2) is unaffected by class imbalance.</w:t>
      </w:r>
    </w:p>
    <w:p>
      <w:pPr>
        <w:pStyle w:val="BodyText"/>
      </w:pPr>
      <w:r>
        <w:t xml:space="preserve">Although we can only optimize on one metric (i.e., auROC), we can define other relevant criteria as</w:t>
      </w:r>
      <w:r>
        <w:t xml:space="preserve"> </w:t>
      </w:r>
      <w:r>
        <w:t xml:space="preserve">“</w:t>
      </w:r>
      <w:r>
        <w:t xml:space="preserve">satisficing metrics</w:t>
      </w:r>
      <w:r>
        <w:t xml:space="preserve">”</w:t>
      </w:r>
      <w:r>
        <w:t xml:space="preserve"> </w:t>
      </w:r>
      <w:r>
        <w:t xml:space="preserve">(</w:t>
      </w:r>
      <w:r>
        <w:t xml:space="preserve">(Ng 2018)</w:t>
      </w:r>
      <w:r>
        <w:t xml:space="preserve">, p. 22). We can require that our models meet a 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w:t>
      </w:r>
      <w:r>
        <w:t xml:space="preserve"> </w:t>
      </w:r>
      <w:r>
        <w:rPr>
          <w:iCs/>
          <w:i/>
        </w:rPr>
        <w:t xml:space="preserve">not</w:t>
      </w:r>
      <w:r>
        <w:t xml:space="preserve"> </w:t>
      </w:r>
      <w:r>
        <w:t xml:space="preserve">retaining any interactions</w:t>
      </w:r>
      <w:r>
        <w:t xml:space="preserve"> </w:t>
      </w:r>
      <w:r>
        <w:rPr>
          <w:iCs/>
          <w:i/>
        </w:rPr>
        <w:t xml:space="preserve">prevents</w:t>
      </w:r>
      <w:r>
        <w:t xml:space="preserve"> </w:t>
      </w:r>
      <w:r>
        <w:t xml:space="preserve">treatment selection.</w:t>
      </w:r>
    </w:p>
    <w:p>
      <w:pPr>
        <w:pStyle w:val="BodyText"/>
      </w:pPr>
      <w:r>
        <w:t xml:space="preserve">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pPr>
        <w:pStyle w:val="BodyText"/>
      </w:pPr>
      <w:r>
        <w:t xml:space="preserve">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bookmarkEnd w:id="49"/>
    <w:bookmarkStart w:id="50"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p>
    <w:bookmarkEnd w:id="50"/>
    <w:bookmarkEnd w:id="51"/>
    <w:bookmarkStart w:id="52"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pPr>
        <w:pStyle w:val="BodyText"/>
      </w:pPr>
      <w:r>
        <w:t xml:space="preserve">We pursued model interpretation in two ways. First, the GLMNet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bookmarkEnd w:id="52"/>
    <w:bookmarkEnd w:id="53"/>
    <w:bookmarkStart w:id="58" w:name="aim-2-analytic-strategy"/>
    <w:p>
      <w:pPr>
        <w:pStyle w:val="Heading3"/>
      </w:pPr>
      <w:r>
        <w:t xml:space="preserve">AIM 2 analytic strategy</w:t>
      </w:r>
    </w:p>
    <w:p>
      <w:pPr>
        <w:pStyle w:val="FirstParagraph"/>
      </w:pPr>
      <w:r>
        <w:t xml:space="preserve">We followed methods described and used previously for evaluating the potential clinical benefit of treatment selection models</w:t>
      </w:r>
      <w:r>
        <w:t xml:space="preserve"> </w:t>
      </w:r>
      <w:r>
        <w:t xml:space="preserve">(DeRubeis et al. 2014; DeRubeis 2019)</w:t>
      </w:r>
      <w:r>
        <w:t xml:space="preserve">. All analyses for Aim 2 were preregistered. The preregistration can be found on our OSF page (</w:t>
      </w:r>
      <w:hyperlink r:id="rId28">
        <w:r>
          <w:rPr>
            <w:rStyle w:val="Hyperlink"/>
          </w:rPr>
          <w:t xml:space="preserve">https://osf.io/qad4n/</w:t>
        </w:r>
      </w:hyperlink>
      <w:r>
        <w:t xml:space="preserve">).</w:t>
      </w:r>
    </w:p>
    <w:bookmarkStart w:id="54" w:name="select-final-model-configuration"/>
    <w:p>
      <w:pPr>
        <w:pStyle w:val="Heading4"/>
      </w:pPr>
      <w:r>
        <w:t xml:space="preserve">Select final model configuration</w:t>
      </w:r>
    </w:p>
    <w:p>
      <w:pPr>
        <w:pStyle w:val="FirstParagraph"/>
      </w:pPr>
      <w:r>
        <w:t xml:space="preserve">Nested cross-validation evaluates how well a model selected with cross-validation will perform on a held-out test set</w:t>
      </w:r>
      <w:r>
        <w:t xml:space="preserve"> </w:t>
      </w:r>
      <w:r>
        <w:t xml:space="preserve">(Krstajic et al. 2014)</w:t>
      </w:r>
      <w:r>
        <w:t xml:space="preserve">. To get a single, final model, we replicated our inner loop resampling (1 repeat of 10-fold cross-validation) on the full dataset. The best model configuration was selected using median auROC across the 10 held-out folds.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54"/>
    <w:bookmarkStart w:id="55"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55"/>
    <w:bookmarkStart w:id="56"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56"/>
    <w:bookmarkStart w:id="57" w:name="evaluate-clinical-benefit"/>
    <w:p>
      <w:pPr>
        <w:pStyle w:val="Heading4"/>
      </w:pPr>
      <w:r>
        <w:t xml:space="preserve">Evaluate clinical benefit</w:t>
      </w:r>
    </w:p>
    <w:p>
      <w:pPr>
        <w:pStyle w:val="FirstParagraph"/>
      </w:pPr>
      <w:r>
        <w:t xml:space="preserve">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w:t>
      </w:r>
      <w:r>
        <w:t xml:space="preserve"> </w:t>
      </w:r>
      <w:r>
        <w:rPr>
          <w:iCs/>
          <w:i/>
        </w:rPr>
        <w:t xml:space="preserve">e</w:t>
      </w:r>
      <w:r>
        <w:t xml:space="preserve">, but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57"/>
    <w:bookmarkEnd w:id="58"/>
    <w:bookmarkEnd w:id="59"/>
    <w:bookmarkStart w:id="93" w:name="results"/>
    <w:p>
      <w:pPr>
        <w:pStyle w:val="Heading2"/>
      </w:pPr>
      <w:r>
        <w:t xml:space="preserve">Results</w:t>
      </w:r>
    </w:p>
    <w:bookmarkStart w:id="66"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w:t>
      </w:r>
      <w:r>
        <w:t xml:space="preserve"> </w:t>
      </w:r>
      <w:hyperlink w:anchor="tbl-demopdf">
        <w:r>
          <w:rPr>
            <w:rStyle w:val="Hyperlink"/>
          </w:rPr>
          <w:t xml:space="preserve">Table 2</w:t>
        </w:r>
      </w:hyperlink>
      <w:r>
        <w:t xml:space="preserve">.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tbl>
      <w:tblPr>
        <w:tblStyle w:val="Table"/>
        <w:tblW w:type="pct" w:w="5000"/>
        <w:tblLook w:firstRow="0" w:lastRow="0" w:firstColumn="0" w:lastColumn="0" w:noHBand="0" w:noVBand="0" w:val="0000"/>
        <w:jc w:val="start"/>
        <w:tblLayout w:type="fixed"/>
      </w:tblPr>
      <w:tblGrid>
        <w:gridCol w:w="7920"/>
      </w:tblGrid>
      <w:tr>
        <w:tc>
          <w:tcPr/>
          <w:bookmarkStart w:id="60"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p>
      <w:r>
        <w:br w:type="page"/>
      </w:r>
    </w:p>
    <w:p>
      <w:pPr>
        <w:pStyle w:val="BodyText"/>
      </w:pPr>
      <w:r>
        <w:t xml:space="preserve">Table 2: Demographic Characteristics (Continued)</w:t>
      </w:r>
    </w:p>
    <w:bookmarkStart w:id="62"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62"/>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p>
      <w:pPr>
        <w:pStyle w:val="BodyText"/>
      </w:pPr>
      <w:r>
        <w:t xml:space="preserve">Smoking-related characteristics of this sample appear in</w:t>
      </w:r>
      <w:r>
        <w:t xml:space="preserve"> </w:t>
      </w:r>
      <w:hyperlink w:anchor="tbl-smoking-chars">
        <w:r>
          <w:rPr>
            <w:rStyle w:val="Hyperlink"/>
          </w:rPr>
          <w:t xml:space="preserve">Table 3</w:t>
        </w:r>
      </w:hyperlink>
      <w:r>
        <w:t xml:space="preserve">. On average, individuals had been smoking almost 30 years and were currently smoking 17 cigarettes per day. Over three quarters of the sample reported smoking their first cigarette of the day within 30 minutes of waking up.</w:t>
      </w:r>
    </w:p>
    <w:tbl>
      <w:tblPr>
        <w:tblStyle w:val="Table"/>
        <w:tblW w:type="pct" w:w="5000"/>
        <w:tblLook w:firstRow="0" w:lastRow="0" w:firstColumn="0" w:lastColumn="0" w:noHBand="0" w:noVBand="0" w:val="0000"/>
        <w:jc w:val="start"/>
        <w:tblLayout w:type="fixed"/>
      </w:tblPr>
      <w:tblGrid>
        <w:gridCol w:w="7920"/>
      </w:tblGrid>
      <w:tr>
        <w:tc>
          <w:tcPr/>
          <w:bookmarkStart w:id="64" w:name="tbl-smoking-chars"/>
          <w:p>
            <w:pPr>
              <w:jc w:val="center"/>
            </w:pPr>
            <w:pPr>
              <w:jc w:val="start"/>
              <w:spacing w:before="200"/>
              <w:pStyle w:val="ImageCaption"/>
            </w:pPr>
            <w:r>
              <w:t xml:space="preserve">Table 3: Smoking-related ID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84" w:name="aim-1-results-prediction-models"/>
    <w:p>
      <w:pPr>
        <w:pStyle w:val="Heading3"/>
      </w:pPr>
      <w:r>
        <w:t xml:space="preserve">AIM 1 results: Prediction models</w:t>
      </w:r>
    </w:p>
    <w:bookmarkStart w:id="72" w:name="model-performance"/>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 median of at least 50 retained treatment interaction features across inner folds).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w:t>
      </w:r>
      <w:r>
        <w:t xml:space="preserve"> </w:t>
      </w:r>
      <w:r>
        <w:t xml:space="preserve">(Krstajic et al. 2014)</w:t>
      </w:r>
      <w:r>
        <w:t xml:space="preserve">. The median auROC across the 30 test sets for the 4-week model was 0.695 (IQR = 0.667 - 0.718, range = 0.592 - 0.788). This value is comparable to model performance from extant literature predicting smoking cessation using machine learning (e.g., auROC = 0.660</w:t>
      </w:r>
      <w:r>
        <w:t xml:space="preserve"> </w:t>
      </w:r>
      <w:r>
        <w:t xml:space="preserve">(Lai et al. 2021)</w:t>
      </w:r>
      <w:r>
        <w:t xml:space="preserve">).</w:t>
      </w:r>
      <w:r>
        <w:t xml:space="preserve"> </w:t>
      </w:r>
      <w:hyperlink w:anchor="fig-combined">
        <w:r>
          <w:rPr>
            <w:rStyle w:val="Hyperlink"/>
          </w:rPr>
          <w:t xml:space="preserve">Figure 1</w:t>
        </w:r>
      </w:hyperlink>
      <w:r>
        <w:t xml:space="preserve">, Panel A shows the ROC curve for held-out test set performance (concatenated across 30 held-out folds).</w:t>
      </w:r>
    </w:p>
    <w:tbl>
      <w:tblPr>
        <w:tblStyle w:val="Table"/>
        <w:tblW w:type="pct" w:w="5000"/>
        <w:tblLook w:firstRow="0" w:lastRow="0" w:firstColumn="0" w:lastColumn="0" w:noHBand="0" w:noVBand="0" w:val="0000"/>
        <w:jc w:val="start"/>
        <w:tblLayout w:type="fixed"/>
      </w:tblPr>
      <w:tblGrid>
        <w:gridCol w:w="7920"/>
      </w:tblGrid>
      <w:tr>
        <w:tc>
          <w:tcPr/>
          <w:bookmarkStart w:id="70" w:name="fig-combined"/>
          <w:p>
            <w:pPr>
              <w:pStyle w:val="Compact"/>
              <w:jc w:val="center"/>
            </w:pPr>
            <w:r>
              <w:drawing>
                <wp:inline>
                  <wp:extent cx="5334000" cy="7620000"/>
                  <wp:effectExtent b="0" l="0" r="0" t="0"/>
                  <wp:docPr descr="" title="" id="68" name="Picture"/>
                  <a:graphic>
                    <a:graphicData uri="http://schemas.openxmlformats.org/drawingml/2006/picture">
                      <pic:pic>
                        <pic:nvPicPr>
                          <pic:cNvPr descr="index_files/figure-docx/notebooks-mak_fig_1-fig-combined-output-1.png" id="69" name="Picture"/>
                          <pic:cNvPicPr>
                            <a:picLocks noChangeArrowheads="1" noChangeAspect="1"/>
                          </pic:cNvPicPr>
                        </pic:nvPicPr>
                        <pic:blipFill>
                          <a:blip r:embed="rId6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 performance for prediction model. A) ROC curve plotted across all values of sensitivity (true positive rate) and specificity (1 - false positive rate). Dotted line indicates chance performance. B) Posterior probability distribution for the auROC.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RCT-assigned treatment. Dotted line indicates perfect calibration.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Figure 1: Model Performance (3-Panel)</w:t>
        </w:r>
      </w:hyperlink>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w:t>
      </w:r>
      <w:r>
        <w:t xml:space="preserve"> </w:t>
      </w:r>
      <w:hyperlink w:anchor="fig-combined">
        <w:r>
          <w:rPr>
            <w:rStyle w:val="Hyperlink"/>
          </w:rPr>
          <w:t xml:space="preserve">Figure 1</w:t>
        </w:r>
      </w:hyperlink>
      <w:r>
        <w:t xml:space="preserve">, Panel B displays the posterior probability distribution for the auROC.</w:t>
      </w:r>
    </w:p>
    <w:bookmarkEnd w:id="72"/>
    <w:bookmarkStart w:id="73" w:name="model-calibration"/>
    <w:p>
      <w:pPr>
        <w:pStyle w:val="Heading4"/>
      </w:pPr>
      <w:r>
        <w:t xml:space="preserve">Model calibration</w:t>
      </w:r>
    </w:p>
    <w:p>
      <w:pPr>
        <w:pStyle w:val="FirstParagraph"/>
      </w:pPr>
      <w:r>
        <w:t xml:space="preserve">In</w:t>
      </w:r>
      <w:r>
        <w:t xml:space="preserve"> </w:t>
      </w:r>
      <w:hyperlink w:anchor="fig-combined">
        <w:r>
          <w:rPr>
            <w:rStyle w:val="Hyperlink"/>
          </w:rPr>
          <w:t xml:space="preserve">Figure 1</w:t>
        </w:r>
      </w:hyperlink>
      <w:r>
        <w:t xml:space="preserve">, panel C, we display our model’s calibration.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This figure plots the probabilities from our held-out predictions (made with leave-one-out cross-validation) using the final selected model configuration for each individual for their original trial-assigned treatment 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p>
    <w:bookmarkEnd w:id="73"/>
    <w:bookmarkStart w:id="83" w:name="model-interpretation-1"/>
    <w:p>
      <w:pPr>
        <w:pStyle w:val="Heading4"/>
      </w:pPr>
      <w:r>
        <w:t xml:space="preserve">Model interpretation</w:t>
      </w:r>
    </w:p>
    <w:bookmarkStart w:id="76" w:name="retained-features"/>
    <w:p>
      <w:pPr>
        <w:pStyle w:val="Heading5"/>
      </w:pPr>
      <w:r>
        <w:t xml:space="preserve">Retained features</w:t>
      </w:r>
    </w:p>
    <w:p>
      <w:pPr>
        <w:pStyle w:val="FirstParagraph"/>
      </w:pPr>
      <w:r>
        <w:t xml:space="preserve">Our final model fit with the full dataset retained retained 155 features. Tables with all retained features as well as their precise parameter estimates appear in the Supplement.</w:t>
      </w:r>
    </w:p>
    <w:p>
      <w:pPr>
        <w:pStyle w:val="BodyText"/>
      </w:pPr>
      <w:r>
        <w:t xml:space="preserve">Of the retained features, 74 were treatment interaction features. Retained treatment interaction features appear in</w:t>
      </w:r>
      <w:r>
        <w:t xml:space="preserve"> </w:t>
      </w:r>
      <w:hyperlink w:anchor="tbl-int-features">
        <w:r>
          <w:rPr>
            <w:rStyle w:val="Hyperlink"/>
          </w:rPr>
          <w:t xml:space="preserve">Table 4</w:t>
        </w:r>
      </w:hyperlink>
      <w:r>
        <w:t xml:space="preserve">, grouped by feature category from</w:t>
      </w:r>
      <w:r>
        <w:t xml:space="preserve"> </w:t>
      </w:r>
      <w:hyperlink w:anchor="tbl-featurespdf">
        <w:r>
          <w:rPr>
            <w:rStyle w:val="Hyperlink"/>
          </w:rPr>
          <w:t xml:space="preserve">Table 1</w:t>
        </w:r>
      </w:hyperlink>
      <w:r>
        <w:t xml:space="preserve">. The effect direction indicates whether increasing values of that feature (or coded positive for that level for one-hot-coded categorical features) increased or decreased abstinence when using that specific treatment (vs. the other two treatments).</w:t>
      </w:r>
    </w:p>
    <w:tbl>
      <w:tblPr>
        <w:tblStyle w:val="Table"/>
        <w:tblW w:type="pct" w:w="5000"/>
        <w:tblLook w:firstRow="0" w:lastRow="0" w:firstColumn="0" w:lastColumn="0" w:noHBand="0" w:noVBand="0" w:val="0000"/>
        <w:jc w:val="start"/>
        <w:tblLayout w:type="fixed"/>
      </w:tblPr>
      <w:tblGrid>
        <w:gridCol w:w="7920"/>
      </w:tblGrid>
      <w:tr>
        <w:tc>
          <w:tcPr/>
          <w:bookmarkStart w:id="74" w:name="tbl-int-features"/>
          <w:p>
            <w:pPr>
              <w:jc w:val="center"/>
            </w:pPr>
            <w:pPr>
              <w:jc w:val="start"/>
              <w:spacing w:before="200"/>
              <w:pStyle w:val="ImageCaption"/>
            </w:pPr>
            <w:r>
              <w:t xml:space="preserve">Table 4: Retained Interaction Features</w:t>
            </w:r>
          </w:p>
          <w:tbl>
            <w:tblPr>
              <w:tblStyle w:val="Table"/>
              <w:tblW w:type="pct" w:w="4898"/>
              <w:tblLook w:firstRow="1" w:lastRow="0" w:firstColumn="0" w:lastColumn="0" w:noHBand="0" w:noVBand="0" w:val="0020"/>
              <w:jc w:val="start"/>
              <w:tblLayout w:type="fixed"/>
            </w:tblPr>
            <w:tblGrid>
              <w:gridCol w:w="1858"/>
              <w:gridCol w:w="2666"/>
              <w:gridCol w:w="1293"/>
              <w:gridCol w:w="969"/>
              <w:gridCol w:w="969"/>
            </w:tblGrid>
            <w:tr>
              <w:trPr>
                <w:tblHeader w:val="true"/>
              </w:trPr>
              <w:tc>
                <w:tcPr/>
                <w:p>
                  <w:pPr>
                    <w:pStyle w:val="Compact"/>
                    <w:jc w:val="left"/>
                    <w:jc w:val="center"/>
                  </w:pPr>
                  <w:r>
                    <w:t xml:space="preserve">Category</w:t>
                  </w:r>
                </w:p>
              </w:tc>
              <w:tc>
                <w:tcPr/>
                <w:p>
                  <w:pPr>
                    <w:pStyle w:val="Compact"/>
                    <w:jc w:val="left"/>
                    <w:jc w:val="center"/>
                  </w:pPr>
                  <w:r>
                    <w:t xml:space="preserve">Feature</w:t>
                  </w:r>
                </w:p>
              </w:tc>
              <w:tc>
                <w:tcPr/>
                <w:p>
                  <w:pPr>
                    <w:pStyle w:val="Compact"/>
                    <w:jc w:val="center"/>
                    <w:jc w:val="center"/>
                  </w:pPr>
                  <w:r>
                    <w:t xml:space="preserve">Effect</w:t>
                  </w:r>
                  <w:r>
                    <w:t xml:space="preserve"> </w:t>
                  </w:r>
                  <w:r>
                    <w:t xml:space="preserve">Direction</w:t>
                  </w:r>
                  <w:r>
                    <w:t xml:space="preserve"> </w:t>
                  </w:r>
                  <w:r>
                    <w:t xml:space="preserve">(Varenicline)</w:t>
                  </w:r>
                </w:p>
              </w:tc>
              <w:tc>
                <w:tcPr/>
                <w:p>
                  <w:pPr>
                    <w:pStyle w:val="Compact"/>
                    <w:jc w:val="center"/>
                    <w:jc w:val="center"/>
                  </w:pPr>
                  <w:r>
                    <w:t xml:space="preserve">Effect</w:t>
                  </w:r>
                  <w:r>
                    <w:t xml:space="preserve"> </w:t>
                  </w:r>
                  <w:r>
                    <w:t xml:space="preserve">Direction</w:t>
                  </w:r>
                  <w:r>
                    <w:t xml:space="preserve"> </w:t>
                  </w:r>
                  <w:r>
                    <w:t xml:space="preserve">(C-NRT)</w:t>
                  </w:r>
                </w:p>
              </w:tc>
              <w:tc>
                <w:tcPr/>
                <w:p>
                  <w:pPr>
                    <w:pStyle w:val="Compact"/>
                    <w:jc w:val="center"/>
                    <w:jc w:val="center"/>
                  </w:pPr>
                  <w:r>
                    <w:t xml:space="preserve">Effect</w:t>
                  </w:r>
                  <w:r>
                    <w:t xml:space="preserve"> </w:t>
                  </w:r>
                  <w:r>
                    <w:t xml:space="preserve">Direction</w:t>
                  </w:r>
                  <w:r>
                    <w:t xml:space="preserve"> </w:t>
                  </w:r>
                  <w:r>
                    <w:t xml:space="preserve">(Patch)</w:t>
                  </w:r>
                </w:p>
              </w:tc>
            </w:tr>
            <w:tr>
              <w:tc>
                <w:tcPr/>
                <w:p>
                  <w:pPr>
                    <w:pStyle w:val="Compact"/>
                    <w:jc w:val="left"/>
                    <w:jc w:val="center"/>
                  </w:pPr>
                  <w:r>
                    <w:t xml:space="preserve">Demographic</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Divorced</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income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never been married</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Black or African</w:t>
                  </w:r>
                  <w:r>
                    <w:t xml:space="preserve"> </w:t>
                  </w:r>
                  <w:r>
                    <w:t xml:space="preserve">American</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Identifies as White</w:t>
                  </w:r>
                </w:p>
              </w:tc>
              <w:tc>
                <w:tcPr/>
                <w:p>
                  <w:pPr>
                    <w:pStyle w:val="Compact"/>
                  </w:pPr>
                </w:p>
              </w:tc>
              <w:tc>
                <w:tcPr/>
                <w:p>
                  <w:pPr>
                    <w:pStyle w:val="Compact"/>
                    <w:jc w:val="center"/>
                    <w:jc w:val="center"/>
                  </w:pPr>
                  <w:r>
                    <w:t xml:space="preserve">+</w:t>
                  </w: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female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Married</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Medical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feel it takes a lot of</w:t>
                  </w:r>
                  <w:r>
                    <w:t xml:space="preserve"> </w:t>
                  </w:r>
                  <w:r>
                    <w:t xml:space="preserve">effort to concentrate (MFI Item</w:t>
                  </w:r>
                  <w:r>
                    <w:t xml:space="preserve"> </w:t>
                  </w:r>
                  <w:r>
                    <w:t xml:space="preserve">13)</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have a lot of plans</w:t>
                  </w:r>
                  <w:r>
                    <w:t xml:space="preserve"> </w:t>
                  </w:r>
                  <w:r>
                    <w:t xml:space="preserve">(MFI Item 15)</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Does not think they do a lot in</w:t>
                  </w:r>
                  <w:r>
                    <w:t xml:space="preserve"> </w:t>
                  </w:r>
                  <w:r>
                    <w:t xml:space="preserve">a day (MFI Item 6)</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Feels tired, fatigued, or not up</w:t>
                  </w:r>
                  <w:r>
                    <w:t xml:space="preserve"> </w:t>
                  </w:r>
                  <w:r>
                    <w:t xml:space="preserve">to par (Berlin Item 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days in past month feeling</w:t>
                  </w:r>
                  <w:r>
                    <w:t xml:space="preserve"> </w:t>
                  </w:r>
                  <w:r>
                    <w:t xml:space="preserve">worried, tense, or anxious (HDSM</w:t>
                  </w:r>
                  <w:r>
                    <w:t xml:space="preserve"> </w:t>
                  </w:r>
                  <w:r>
                    <w:t xml:space="preserve">Item</w:t>
                  </w:r>
                  <w:r>
                    <w:t xml:space="preserve"> </w:t>
                  </w:r>
                  <w:r>
                    <w:rPr>
                      <w:rStyle w:val="VerbatimChar"/>
                    </w:rPr>
                    <w:t xml:space="preserve">Tense</w:t>
                  </w:r>
                  <w:r>
                    <w:t xml:space="preserv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sleep apnea diagnosis (Berlin</w:t>
                  </w:r>
                  <w:r>
                    <w:t xml:space="preserve"> </w:t>
                  </w:r>
                  <w:r>
                    <w:t xml:space="preserve">Item 9)</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Psychological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Can handle feeling distressed or</w:t>
                  </w:r>
                  <w:r>
                    <w:t xml:space="preserve"> </w:t>
                  </w:r>
                  <w:r>
                    <w:t xml:space="preserve">upset (DTS Item 3)</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Disagrees that there is nothing</w:t>
                  </w:r>
                  <w:r>
                    <w:t xml:space="preserve"> </w:t>
                  </w:r>
                  <w:r>
                    <w:t xml:space="preserve">worse than feeling distressed or</w:t>
                  </w:r>
                  <w:r>
                    <w:t xml:space="preserve"> </w:t>
                  </w:r>
                  <w:r>
                    <w:t xml:space="preserve">upset (DTS Item 5)</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find feeling distressed</w:t>
                  </w:r>
                  <w:r>
                    <w:t xml:space="preserve"> </w:t>
                  </w:r>
                  <w:r>
                    <w:t xml:space="preserve">or upset to be unbearable (DTS</w:t>
                  </w:r>
                  <w:r>
                    <w:t xml:space="preserve"> </w:t>
                  </w:r>
                  <w:r>
                    <w:t xml:space="preserve">Item 1)</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a depression diagnosis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satisfied with their life</w:t>
                  </w:r>
                  <w:r>
                    <w:t xml:space="preserve"> </w:t>
                  </w:r>
                  <w:r>
                    <w:t xml:space="preserve">as a whole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Worries they are going crazy</w:t>
                  </w:r>
                  <w:r>
                    <w:t xml:space="preserve"> </w:t>
                  </w:r>
                  <w:r>
                    <w:t xml:space="preserve">when they cannot keep their mind</w:t>
                  </w:r>
                  <w:r>
                    <w:t xml:space="preserve"> </w:t>
                  </w:r>
                  <w:r>
                    <w:t xml:space="preserve">on a task (ASI-3 Item 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Worries they will choke to death</w:t>
                  </w:r>
                  <w:r>
                    <w:t xml:space="preserve"> </w:t>
                  </w:r>
                  <w:r>
                    <w:t xml:space="preserve">when their throat feels tight</w:t>
                  </w:r>
                  <w:r>
                    <w:t xml:space="preserve"> </w:t>
                  </w:r>
                  <w:r>
                    <w:t xml:space="preserve">(ASI-3 Item 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Smoking Use/History</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Bothered by constipation (WSWS-2</w:t>
                  </w:r>
                  <w:r>
                    <w:t xml:space="preserve"> </w:t>
                  </w:r>
                  <w:r>
                    <w:t xml:space="preserve">Item</w:t>
                  </w:r>
                  <w:r>
                    <w:t xml:space="preserve"> </w:t>
                  </w:r>
                  <w:r>
                    <w:t xml:space="preserve">‘</w:t>
                  </w:r>
                  <w:r>
                    <w:t xml:space="preserve">Constipation</w:t>
                  </w:r>
                  <w:r>
                    <w:t xml:space="preserve">’</w:t>
                  </w: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coughing (WSWS-2</w:t>
                  </w:r>
                  <w:r>
                    <w:t xml:space="preserve"> </w:t>
                  </w:r>
                  <w:r>
                    <w:t xml:space="preserve">Item</w:t>
                  </w:r>
                  <w:r>
                    <w:t xml:space="preserve"> </w:t>
                  </w:r>
                  <w:r>
                    <w:t xml:space="preserve">‘</w:t>
                  </w:r>
                  <w:r>
                    <w:t xml:space="preserve">Coughing</w:t>
                  </w:r>
                  <w:r>
                    <w:t xml:space="preserve">’</w:t>
                  </w:r>
                  <w:r>
                    <w:t xml:space="preserv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craving a cigarette</w:t>
                  </w:r>
                  <w:r>
                    <w:t xml:space="preserve"> </w:t>
                  </w:r>
                  <w:r>
                    <w:t xml:space="preserve">(WSWS-2 Item</w:t>
                  </w:r>
                  <w:r>
                    <w:t xml:space="preserve"> </w:t>
                  </w:r>
                  <w:r>
                    <w:t xml:space="preserve">‘</w:t>
                  </w:r>
                  <w:r>
                    <w:t xml:space="preserve">Crave</w:t>
                  </w:r>
                  <w:r>
                    <w:t xml:space="preserve">’</w:t>
                  </w:r>
                  <w:r>
                    <w:t xml:space="preserv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feeling hopeless or</w:t>
                  </w:r>
                  <w:r>
                    <w:t xml:space="preserve"> </w:t>
                  </w:r>
                  <w:r>
                    <w:t xml:space="preserve">discouraged (WSWS-2 Item 19)</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Bothered by having trouble</w:t>
                  </w:r>
                  <w:r>
                    <w:t xml:space="preserve"> </w:t>
                  </w:r>
                  <w:r>
                    <w:t xml:space="preserve">getting cigarettes of their mind</w:t>
                  </w:r>
                  <w:r>
                    <w:t xml:space="preserve"> </w:t>
                  </w:r>
                  <w:r>
                    <w:t xml:space="preserve">(WSWS-2 Item 26)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having urges to</w:t>
                  </w:r>
                  <w:r>
                    <w:t xml:space="preserve"> </w:t>
                  </w:r>
                  <w:r>
                    <w:t xml:space="preserve">smoke (WSWS-2 Item 9)</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waking frequently</w:t>
                  </w:r>
                  <w:r>
                    <w:t xml:space="preserve"> </w:t>
                  </w:r>
                  <w:r>
                    <w:t xml:space="preserve">during the night (WSWS-2 Item 5)</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wanting to smoke</w:t>
                  </w:r>
                  <w:r>
                    <w:t xml:space="preserve"> </w:t>
                  </w:r>
                  <w:r>
                    <w:t xml:space="preserve">(WSWS-2 Item</w:t>
                  </w:r>
                  <w:r>
                    <w:t xml:space="preserve"> </w:t>
                  </w:r>
                  <w:r>
                    <w:t xml:space="preserve">‘</w:t>
                  </w:r>
                  <w:r>
                    <w:t xml:space="preserve">Want Cigarette</w:t>
                  </w:r>
                  <w:r>
                    <w:t xml:space="preserve">’</w:t>
                  </w:r>
                  <w:r>
                    <w:t xml:space="preserv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Currently smokes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endorse withdrawal</w:t>
                  </w:r>
                  <w:r>
                    <w:t xml:space="preserve"> </w:t>
                  </w:r>
                  <w:r>
                    <w:t xml:space="preserve">symptoms (DSM-5 Item 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smoke when so ill they</w:t>
                  </w:r>
                  <w:r>
                    <w:t xml:space="preserve"> </w:t>
                  </w:r>
                  <w:r>
                    <w:t xml:space="preserve">are in bed most of the day (FTND</w:t>
                  </w:r>
                  <w:r>
                    <w:t xml:space="preserve"> </w:t>
                  </w:r>
                  <w:r>
                    <w:t xml:space="preserve">Item 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feeling alone without</w:t>
                  </w:r>
                  <w:r>
                    <w:t xml:space="preserve"> </w:t>
                  </w:r>
                  <w:r>
                    <w:t xml:space="preserve">their cigarettes (WISDM-37 Item</w:t>
                  </w:r>
                  <w:r>
                    <w:t xml:space="preserve"> </w:t>
                  </w:r>
                  <w:r>
                    <w:t xml:space="preserve">26)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Endorses feeling like cigarattes</w:t>
                  </w:r>
                  <w:r>
                    <w:t xml:space="preserve"> </w:t>
                  </w:r>
                  <w:r>
                    <w:t xml:space="preserve">are their best friends (WISDM-37</w:t>
                  </w:r>
                  <w:r>
                    <w:t xml:space="preserve"> </w:t>
                  </w:r>
                  <w:r>
                    <w:t xml:space="preserve">Item 22)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feeling that cigarettes</w:t>
                  </w:r>
                  <w:r>
                    <w:t xml:space="preserve"> </w:t>
                  </w:r>
                  <w:r>
                    <w:t xml:space="preserve">rule their life (WISDM-37 Item</w:t>
                  </w:r>
                  <w:r>
                    <w:t xml:space="preserve"> </w:t>
                  </w:r>
                  <w:r>
                    <w:t xml:space="preserve">16)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Endorses having a lot of friends</w:t>
                  </w:r>
                  <w:r>
                    <w:t xml:space="preserve"> </w:t>
                  </w:r>
                  <w:r>
                    <w:t xml:space="preserve">or family members smoke</w:t>
                  </w:r>
                  <w:r>
                    <w:t xml:space="preserve"> </w:t>
                  </w:r>
                  <w:r>
                    <w:t xml:space="preserve">(WISDM-37 Item 27)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most of the people they</w:t>
                  </w:r>
                  <w:r>
                    <w:t xml:space="preserve"> </w:t>
                  </w:r>
                  <w:r>
                    <w:t xml:space="preserve">spend time with are smokers</w:t>
                  </w:r>
                  <w:r>
                    <w:t xml:space="preserve"> </w:t>
                  </w:r>
                  <w:r>
                    <w:t xml:space="preserve">(WISDM-37 Item 18)</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smoking helps them</w:t>
                  </w:r>
                  <w:r>
                    <w:t xml:space="preserve"> </w:t>
                  </w:r>
                  <w:r>
                    <w:t xml:space="preserve">think better (WISDM-37 Item 32)</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that most of their</w:t>
                  </w:r>
                  <w:r>
                    <w:t xml:space="preserve"> </w:t>
                  </w:r>
                  <w:r>
                    <w:t xml:space="preserve">friends and acquaintances smoke</w:t>
                  </w:r>
                  <w:r>
                    <w:t xml:space="preserve"> </w:t>
                  </w:r>
                  <w:r>
                    <w:t xml:space="preserve">(WISDM-37 Item 30)</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weight control as a</w:t>
                  </w:r>
                  <w:r>
                    <w:t xml:space="preserve"> </w:t>
                  </w:r>
                  <w:r>
                    <w:t xml:space="preserve">major reason they smoke</w:t>
                  </w:r>
                  <w:r>
                    <w:t xml:space="preserve"> </w:t>
                  </w:r>
                  <w:r>
                    <w:t xml:space="preserve">(WISDM-37 Item 19)</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Finds it difficult to refrain</w:t>
                  </w:r>
                  <w:r>
                    <w:t xml:space="preserve"> </w:t>
                  </w:r>
                  <w:r>
                    <w:t xml:space="preserve">from smoking where it is</w:t>
                  </w:r>
                  <w:r>
                    <w:t xml:space="preserve"> </w:t>
                  </w:r>
                  <w:r>
                    <w:t xml:space="preserve">forbidden (FTND Item 2)</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Greater duration of time since</w:t>
                  </w:r>
                  <w:r>
                    <w:t xml:space="preserve"> </w:t>
                  </w:r>
                  <w:r>
                    <w:t xml:space="preserve">most recent quit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total number of previous</w:t>
                  </w:r>
                  <w:r>
                    <w:t xml:space="preserve"> </w:t>
                  </w:r>
                  <w:r>
                    <w:t xml:space="preserve">quit attempts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never smoked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never tried cigars</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not tried nicotine gum</w:t>
                  </w:r>
                  <w:r>
                    <w:t xml:space="preserve"> </w:t>
                  </w:r>
                  <w:r>
                    <w:t xml:space="preserve">during a 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spent a lot of time</w:t>
                  </w:r>
                  <w:r>
                    <w:t xml:space="preserve"> </w:t>
                  </w:r>
                  <w:r>
                    <w:t xml:space="preserve">obtaining, smoking, or</w:t>
                  </w:r>
                  <w:r>
                    <w:t xml:space="preserve"> </w:t>
                  </w:r>
                  <w:r>
                    <w:t xml:space="preserve">recovering from cigarettes</w:t>
                  </w:r>
                  <w:r>
                    <w:t xml:space="preserve"> </w:t>
                  </w:r>
                  <w:r>
                    <w:t xml:space="preserve">(DSM-5 Item 10)</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a pipe but has never</w:t>
                  </w:r>
                  <w:r>
                    <w:t xml:space="preserve"> </w:t>
                  </w:r>
                  <w:r>
                    <w:t xml:space="preserve">used regularly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cigars but has never</w:t>
                  </w:r>
                  <w:r>
                    <w:t xml:space="preserve"> </w:t>
                  </w:r>
                  <w:r>
                    <w:t xml:space="preserve">used regularly</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Smoked despite relationship</w:t>
                  </w:r>
                  <w:r>
                    <w:t xml:space="preserve"> </w:t>
                  </w:r>
                  <w:r>
                    <w:t xml:space="preserve">problems (DSM-5 Item 3)</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Smoked knowing it was causing or</w:t>
                  </w:r>
                  <w:r>
                    <w:t xml:space="preserve"> </w:t>
                  </w:r>
                  <w:r>
                    <w:t xml:space="preserve">worsening a health problem</w:t>
                  </w:r>
                  <w:r>
                    <w:t xml:space="preserve"> </w:t>
                  </w:r>
                  <w:r>
                    <w:t xml:space="preserve">(DSM-5 Item 12)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Smoked to get rid of withdrawal</w:t>
                  </w:r>
                  <w:r>
                    <w:t xml:space="preserve"> </w:t>
                  </w:r>
                  <w:r>
                    <w:t xml:space="preserve">feelings (DSM-5 Item 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Smokes when so ill they are in</w:t>
                  </w:r>
                  <w:r>
                    <w:t xml:space="preserve"> </w:t>
                  </w:r>
                  <w:r>
                    <w:t xml:space="preserve">bed most of the day (FTND Item</w:t>
                  </w:r>
                  <w:r>
                    <w:t xml:space="preserve"> </w:t>
                  </w:r>
                  <w:r>
                    <w:t xml:space="preserve">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Zyban (bupropion) during</w:t>
                  </w:r>
                  <w:r>
                    <w:t xml:space="preserve"> </w:t>
                  </w:r>
                  <w:r>
                    <w:t xml:space="preserve">previous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nicotine gum during</w:t>
                  </w:r>
                  <w:r>
                    <w:t xml:space="preserve"> </w:t>
                  </w:r>
                  <w:r>
                    <w:t xml:space="preserve">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Social/Environmental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w:t>
                  </w:r>
                  <w:r>
                    <w:t xml:space="preserve"> </w:t>
                  </w:r>
                  <w:r>
                    <w:t xml:space="preserve">spouse/partner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another</w:t>
                  </w:r>
                  <w:r>
                    <w:t xml:space="preserve"> </w:t>
                  </w:r>
                  <w:r>
                    <w:t xml:space="preserve">smoker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work outside the home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co-worker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does</w:t>
                  </w:r>
                  <w:r>
                    <w:t xml:space="preserve"> </w:t>
                  </w:r>
                  <w:r>
                    <w:t xml:space="preserve">not smoke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Lives alone or only with a</w:t>
                  </w:r>
                  <w:r>
                    <w:t xml:space="preserve"> </w:t>
                  </w:r>
                  <w:r>
                    <w:t xml:space="preserve">partner</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Lives with another smoker</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No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No smoking allowed anywhere at</w:t>
                  </w:r>
                  <w:r>
                    <w:t xml:space="preserve"> </w:t>
                  </w:r>
                  <w:r>
                    <w:t xml:space="preserve">their workplace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Smoking only allowed in some</w:t>
                  </w:r>
                  <w:r>
                    <w:t xml:space="preserve"> </w:t>
                  </w:r>
                  <w:r>
                    <w:t xml:space="preserve">parts of workplace</w:t>
                  </w:r>
                </w:p>
              </w:tc>
              <w:tc>
                <w:tcPr/>
                <w:p>
                  <w:pPr>
                    <w:pStyle w:val="Compact"/>
                    <w:jc w:val="center"/>
                    <w:jc w:val="center"/>
                  </w:pPr>
                  <w:r>
                    <w:t xml:space="preserve">-</w:t>
                  </w:r>
                </w:p>
              </w:tc>
              <w:tc>
                <w:tcPr/>
                <w:p>
                  <w:pPr>
                    <w:pStyle w:val="Compact"/>
                  </w:pPr>
                </w:p>
              </w:tc>
              <w:tc>
                <w:tcPr/>
                <w:p>
                  <w:pPr>
                    <w:pStyle w:val="Compact"/>
                  </w:pPr>
                </w:p>
              </w:tc>
            </w:tr>
          </w:tbl>
          <w:bookmarkEnd w:id="74"/>
          <w:p/>
        </w:tc>
      </w:tr>
    </w:tbl>
    <w:p>
      <w:pPr>
        <w:pStyle w:val="BodyText"/>
      </w:pPr>
      <w:r>
        <w:rPr>
          <w:vertAlign w:val="subscript"/>
        </w:rPr>
        <w:t xml:space="preserve">Source:</w:t>
      </w:r>
      <w:r>
        <w:rPr>
          <w:vertAlign w:val="subscript"/>
        </w:rPr>
        <w:t xml:space="preserve"> </w:t>
      </w:r>
      <w:hyperlink r:id="rId75">
        <w:r>
          <w:rPr>
            <w:rStyle w:val="Hyperlink"/>
            <w:vertAlign w:val="subscript"/>
          </w:rPr>
          <w:t xml:space="preserve">Make All Tables for Main Manuscript</w:t>
        </w:r>
      </w:hyperlink>
    </w:p>
    <w:p>
      <w:pPr>
        <w:pStyle w:val="BodyText"/>
      </w:pPr>
      <w:r>
        <w:t xml:space="preserve">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52 unique items (e.g., multiple dummy variables are from a single item, the same feature interacts with more than one treatment).</w:t>
      </w:r>
    </w:p>
    <w:bookmarkEnd w:id="76"/>
    <w:bookmarkStart w:id="82" w:name="feature-importance-via-shapley-values"/>
    <w:p>
      <w:pPr>
        <w:pStyle w:val="Heading5"/>
      </w:pPr>
      <w:r>
        <w:t xml:space="preserve">Feature importance via Shapley values</w:t>
      </w:r>
    </w:p>
    <w:p>
      <w:pPr>
        <w:pStyle w:val="FirstParagraph"/>
      </w:pPr>
      <w:r>
        <w:t xml:space="preserve">Global feature importance (mean |Shapley value|) from our model appear in</w:t>
      </w:r>
      <w:r>
        <w:t xml:space="preserve"> </w:t>
      </w:r>
      <w:hyperlink w:anchor="fig-shap-global">
        <w:r>
          <w:rPr>
            <w:rStyle w:val="Hyperlink"/>
          </w:rPr>
          <w:t xml:space="preserve">Figure 2</w:t>
        </w:r>
      </w:hyperlink>
      <w:r>
        <w:t xml:space="preserve">, both overall (Panel A) and for treatment interaction features specifically (Panel B). Shapley values describe the relative importance of features. Six of the top 25 most globally important features were treatment interactions.</w:t>
      </w:r>
    </w:p>
    <w:tbl>
      <w:tblPr>
        <w:tblStyle w:val="Table"/>
        <w:tblW w:type="pct" w:w="5000"/>
        <w:tblLook w:firstRow="0" w:lastRow="0" w:firstColumn="0" w:lastColumn="0" w:noHBand="0" w:noVBand="0" w:val="0000"/>
        <w:jc w:val="start"/>
        <w:tblLayout w:type="fixed"/>
      </w:tblPr>
      <w:tblGrid>
        <w:gridCol w:w="7920"/>
      </w:tblGrid>
      <w:tr>
        <w:tc>
          <w:tcPr/>
          <w:bookmarkStart w:id="80" w:name="fig-shap-global"/>
          <w:p>
            <w:pPr>
              <w:pStyle w:val="Compact"/>
              <w:jc w:val="center"/>
            </w:pPr>
            <w:r>
              <w:drawing>
                <wp:inline>
                  <wp:extent cx="5334000" cy="6858000"/>
                  <wp:effectExtent b="0" l="0" r="0" t="0"/>
                  <wp:docPr descr="" title="" id="78" name="Picture"/>
                  <a:graphic>
                    <a:graphicData uri="http://schemas.openxmlformats.org/drawingml/2006/picture">
                      <pic:pic>
                        <pic:nvPicPr>
                          <pic:cNvPr descr="index_files/figure-docx/notebooks-shap_4wk-fig-shap-global-output-1.png" id="79" name="Picture"/>
                          <pic:cNvPicPr>
                            <a:picLocks noChangeArrowheads="1" noChangeAspect="1"/>
                          </pic:cNvPicPr>
                        </pic:nvPicPr>
                        <pic:blipFill>
                          <a:blip r:embed="rId77"/>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Global feature importance via Shapley values. Bar represents magnitude of global feature importance, which is calculated from the mean of the absolute value across all observations for that feature. A) Global feature importance for top 25 features overall. B) Global feature importance for top 25 treatment interaction features.</w:t>
            </w:r>
          </w:p>
          <w:bookmarkEnd w:id="80"/>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SHAP for 4-Week Model</w:t>
        </w:r>
      </w:hyperlink>
    </w:p>
    <w:bookmarkEnd w:id="82"/>
    <w:bookmarkEnd w:id="83"/>
    <w:bookmarkEnd w:id="84"/>
    <w:bookmarkStart w:id="92" w:name="aim-2-results-clinical-benefit"/>
    <w:p>
      <w:pPr>
        <w:pStyle w:val="Heading3"/>
      </w:pPr>
      <w:r>
        <w:t xml:space="preserve">AIM 2 results: Clinical benefit</w:t>
      </w:r>
    </w:p>
    <w:p>
      <w:pPr>
        <w:pStyle w:val="FirstParagraph"/>
      </w:pPr>
      <w:r>
        <w:t xml:space="preserve">There was a significant fixed effect of treatment matching on abstinence (OR = XX,</w:t>
      </w:r>
      <w:r>
        <w:t xml:space="preserve"> </w:t>
      </w:r>
      <w:r>
        <w:rPr>
          <w:iCs/>
          <w:i/>
        </w:rPr>
        <w:t xml:space="preserve">z</w:t>
      </w:r>
      <w:r>
        <w:t xml:space="preserve"> </w:t>
      </w:r>
      <w:r>
        <w:t xml:space="preserve">= 2.862,</w:t>
      </w:r>
      <w:r>
        <w:t xml:space="preserve"> </w:t>
      </w:r>
      <w:r>
        <w:rPr>
          <w:iCs/>
          <w:i/>
        </w:rPr>
        <w:t xml:space="preserve">p</w:t>
      </w:r>
      <w:r>
        <w:t xml:space="preserve"> </w:t>
      </w:r>
      <w:r>
        <w:t xml:space="preserve">= 0.004). Individuals who received their model-predicted best treatment were more likely to be abstinent than individuals who did not. There was also a significant fixed effect of time (OR = XX,</w:t>
      </w:r>
      <w:r>
        <w:t xml:space="preserve"> </w:t>
      </w:r>
      <w:r>
        <w:rPr>
          <w:iCs/>
          <w:i/>
        </w:rPr>
        <w:t xml:space="preserve">z</w:t>
      </w:r>
      <w:r>
        <w:t xml:space="preserve"> </w:t>
      </w:r>
      <w:r>
        <w:t xml:space="preserve">= -10.053,</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0.697).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rPr>
          <w:rStyle w:val="FootnoteReference"/>
        </w:rPr>
        <w:footnoteReference w:id="85"/>
      </w:r>
      <w:r>
        <w:t xml:space="preserve"> </w:t>
      </w:r>
      <w:r>
        <w:t xml:space="preserve">This allowed us to characterize our results more fully and to understand our effects in their original probability terms.</w:t>
      </w:r>
    </w:p>
    <w:p>
      <w:pPr>
        <w:pStyle w:val="BodyText"/>
      </w:pPr>
      <w:r>
        <w:t xml:space="preserve">There was a significant fixed effect of treatment matching on abstinence at 4 weeks (OR = XX,</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3</w:t>
        </w:r>
      </w:hyperlink>
      <w:r>
        <w:t xml:space="preserve"> </w:t>
      </w:r>
      <w:r>
        <w:t xml:space="preserve">shows the mean abstinence rate by treatment matching at each time point.</w:t>
      </w:r>
    </w:p>
    <w:tbl>
      <w:tblPr>
        <w:tblStyle w:val="Table"/>
        <w:tblW w:type="pct" w:w="5000"/>
        <w:tblLook w:firstRow="0" w:lastRow="0" w:firstColumn="0" w:lastColumn="0" w:noHBand="0" w:noVBand="0" w:val="0000"/>
        <w:jc w:val="start"/>
        <w:tblLayout w:type="fixed"/>
      </w:tblPr>
      <w:tblGrid>
        <w:gridCol w:w="7920"/>
      </w:tblGrid>
      <w:tr>
        <w:tc>
          <w:tcPr/>
          <w:bookmarkStart w:id="90" w:name="fig-clin-ben-wk4"/>
          <w:p>
            <w:pPr>
              <w:pStyle w:val="Compact"/>
              <w:jc w:val="center"/>
            </w:pPr>
            <w:bookmarkStart w:id="89" w:name="fig-clin-ben-wk4"/>
            <w:r>
              <w:drawing>
                <wp:inline>
                  <wp:extent cx="5334000" cy="3810000"/>
                  <wp:effectExtent b="0" l="0" r="0" t="0"/>
                  <wp:docPr descr="" title="" id="87" name="Picture"/>
                  <a:graphic>
                    <a:graphicData uri="http://schemas.openxmlformats.org/drawingml/2006/picture">
                      <pic:pic>
                        <pic:nvPicPr>
                          <pic:cNvPr descr="index_files/figure-docx/notebooks-eval_benefit_4wk-fig-clin-ben-wk4-output-2.png" id="88" name="Picture"/>
                          <pic:cNvPicPr>
                            <a:picLocks noChangeArrowheads="1" noChangeAspect="1"/>
                          </pic:cNvPicPr>
                        </pic:nvPicPr>
                        <pic:blipFill>
                          <a:blip r:embed="rId86"/>
                          <a:stretch>
                            <a:fillRect/>
                          </a:stretch>
                        </pic:blipFill>
                        <pic:spPr bwMode="auto">
                          <a:xfrm>
                            <a:off x="0" y="0"/>
                            <a:ext cx="5334000" cy="3810000"/>
                          </a:xfrm>
                          <a:prstGeom prst="rect">
                            <a:avLst/>
                          </a:prstGeom>
                          <a:noFill/>
                          <a:ln w="9525">
                            <a:noFill/>
                            <a:headEnd/>
                            <a:tailEnd/>
                          </a:ln>
                        </pic:spPr>
                      </pic:pic>
                    </a:graphicData>
                  </a:graphic>
                </wp:inline>
              </w:drawing>
            </w:r>
            <w:bookmarkEnd w:id="89"/>
          </w:p>
          <w:p>
            <w:pPr>
              <w:jc w:val="center"/>
            </w:pPr>
            <w:pPr>
              <w:jc w:val="start"/>
              <w:spacing w:before="200"/>
              <w:pStyle w:val="ImageCaption"/>
            </w:pPr>
            <w:r>
              <w:t xml:space="preserve">Figure 3</w:t>
            </w:r>
          </w:p>
          <w:bookmarkEnd w:id="90"/>
        </w:tc>
      </w:tr>
    </w:tbl>
    <w:p>
      <w:pPr>
        <w:pStyle w:val="BodyText"/>
      </w:pPr>
      <w:r>
        <w:rPr>
          <w:vertAlign w:val="subscript"/>
        </w:rPr>
        <w:t xml:space="preserve">Source:</w:t>
      </w:r>
      <w:r>
        <w:rPr>
          <w:vertAlign w:val="subscript"/>
        </w:rPr>
        <w:t xml:space="preserve"> </w:t>
      </w:r>
      <w:hyperlink r:id="rId91">
        <w:r>
          <w:rPr>
            <w:rStyle w:val="Hyperlink"/>
            <w:vertAlign w:val="subscript"/>
          </w:rPr>
          <w:t xml:space="preserve">Evaluation of Clinical Benefit: Week 4 Model</w:t>
        </w:r>
      </w:hyperlink>
    </w:p>
    <w:bookmarkEnd w:id="92"/>
    <w:bookmarkEnd w:id="93"/>
    <w:bookmarkStart w:id="329" w:name="discussion"/>
    <w:p>
      <w:pPr>
        <w:pStyle w:val="Heading2"/>
      </w:pPr>
      <w:r>
        <w:t xml:space="preserve">Discussion</w:t>
      </w:r>
    </w:p>
    <w:p>
      <w:pPr>
        <w:pStyle w:val="FirstParagraph"/>
      </w:pPr>
      <w:r>
        <w:t xml:space="preserve">In this project, we have produced a treatment selection model that can offer immediate benefit to individuals looking to quit smoking using several first-line medications. We can identify the best treatment for a specific individual at the moment in time that they are looking to quit. This treatment selection model can accomplish the goals of the precision mental health paradigm: the right treatment, for the right person, at the right time</w:t>
      </w:r>
      <w:r>
        <w:t xml:space="preserve"> </w:t>
      </w:r>
      <w:r>
        <w:t xml:space="preserve">(Kaiser 2015)</w:t>
      </w:r>
      <w:r>
        <w:t xml:space="preserve">.</w:t>
      </w:r>
    </w:p>
    <w:bookmarkStart w:id="94" w:name="benefit-of-treatment-selection"/>
    <w:p>
      <w:pPr>
        <w:pStyle w:val="Heading3"/>
      </w:pPr>
      <w:r>
        <w:t xml:space="preserve">Benefit of treatment selection</w:t>
      </w:r>
    </w:p>
    <w:p>
      <w:pPr>
        <w:pStyle w:val="FirstParagraph"/>
      </w:pPr>
      <w:r>
        <w:t xml:space="preserve">Individuals who received their model-predicted best treatment in the original trial had a mean abstinence rate of 39% at 4 weeks. The mean abstinence rate at 4 weeks in this study (among people who did and did not receive their best treatment, as might be expected using current treatment selection procedures) was 34%. Although this difference may seem somewhat small numerically, this represents a vast improvement. The best available smoking cessation treatments (i.e., varenicline or C-NRT plus psychosocial counseling) double the likelihood that an individual will quit successfully</w:t>
      </w:r>
      <w:r>
        <w:t xml:space="preserve"> </w:t>
      </w:r>
      <w:r>
        <w:t xml:space="preserve">(Baker and McCarthy 2021)</w:t>
      </w:r>
      <w:r>
        <w:t xml:space="preserve">. Thus, we might expect that these individuals would have had a 17% abstinence rate without any treatment. Using our model yields another 5% increase on top of this 17% increase - almost another third beyond what our</w:t>
      </w:r>
      <w:r>
        <w:t xml:space="preserve"> </w:t>
      </w:r>
      <w:r>
        <w:rPr>
          <w:iCs/>
          <w:i/>
        </w:rPr>
        <w:t xml:space="preserve">best</w:t>
      </w:r>
      <w:r>
        <w:t xml:space="preserve"> </w:t>
      </w:r>
      <w:r>
        <w:t xml:space="preserve">treatments currently offer.</w:t>
      </w:r>
    </w:p>
    <w:p>
      <w:pPr>
        <w:pStyle w:val="BodyText"/>
      </w:pPr>
      <w:r>
        <w:t xml:space="preserve">We can achieve this benefit using an assessment that is both low-burden and accessible. Implementing this treatment selection model would require assessing approximately 50 multiple choice and yes/no questions. These types of questions take 10-15 seconds each to answer on average</w:t>
      </w:r>
      <w:r>
        <w:t xml:space="preserve"> </w:t>
      </w:r>
      <w:r>
        <w:t xml:space="preserve">(Lenzner, Kaczmirek, and Lenzner 2010)</w:t>
      </w:r>
      <w:r>
        <w:t xml:space="preserve">, meaning a 52-item assessment would be expected to take approximately 11-12 minutes. Additionally, because all items are self-report questions, this assessment can be completed remotely (e.g., administered online). Consequently, it can be made available to people who are un- or under-insured or who do not have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particularly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Precision mental health approaches must aim to mitigate rather than exacerbate health disparities in our treatment pipeline; prioritizing accessibility in implementation is a critical first step towards this goal</w:t>
      </w:r>
      <w:r>
        <w:t xml:space="preserve"> </w:t>
      </w:r>
      <w:r>
        <w:t xml:space="preserve">(MacEachern and Forkert 2021)</w:t>
      </w:r>
      <w:r>
        <w:t xml:space="preserve">.</w:t>
      </w:r>
    </w:p>
    <w:bookmarkEnd w:id="94"/>
    <w:bookmarkStart w:id="95" w:name="predictive-performance"/>
    <w:p>
      <w:pPr>
        <w:pStyle w:val="Heading3"/>
      </w:pPr>
      <w:r>
        <w:t xml:space="preserve">Predictive performance</w:t>
      </w:r>
    </w:p>
    <w:p>
      <w:pPr>
        <w:pStyle w:val="FirstParagraph"/>
      </w:pPr>
      <w:r>
        <w:t xml:space="preserve">We evaluated our model based on performance across held-out test sets. We observed a median auROC of 0.695, and the Bayesian CI around the auROC indicated that our model is capturing predictive signal. However, this is not particularly strong performance. It is possible that we could have improved prediction if we incorporated biological markers or genetic data given extant literature suggesting their value</w:t>
      </w:r>
      <w:r>
        <w:t xml:space="preserve"> </w:t>
      </w:r>
      <w:r>
        <w:t xml:space="preserve">(Chen, Horton, and Bierut 2018)</w:t>
      </w:r>
      <w:r>
        <w:t xml:space="preserve">. This potential improvement would have come at a cost to implementation given the relative inaccessibility of genetic and biological testing</w:t>
      </w:r>
      <w:r>
        <w:t xml:space="preserve"> </w:t>
      </w:r>
      <w:r>
        <w:t xml:space="preserve">(MacEachern and Forkert 2021)</w:t>
      </w:r>
      <w:r>
        <w:t xml:space="preserve">.</w:t>
      </w:r>
    </w:p>
    <w:p>
      <w:pPr>
        <w:pStyle w:val="BodyText"/>
      </w:pPr>
      <w:r>
        <w:t xml:space="preserve">Although we used auROC to select among and evaluate our model’s performance, our primary goal was not overall prediction. Capturing some signal with our model was necessary to yield credible predictions and establish the relevance of features, but it was insufficient for our purpose. A model that predicted abstinence perfectly (i.e., auROC of 1.0) but included no interactions would be useless for treatment selection. Indeed, this fact motivated our use of a satisficing metric for a minimum number of interaction terms retained in our models, even though it is possible that we sacrificed some level of predictive power by imposing that additional criterion.</w:t>
      </w:r>
    </w:p>
    <w:p>
      <w:pPr>
        <w:pStyle w:val="BodyText"/>
      </w:pPr>
      <w:r>
        <w:t xml:space="preserve">Perhaps more important than auROC for our purpose, then, is our model’s calibration. Our predictions were well-calibrated such that we can trust their ordinal ranking. This is critical because what is used in our treatment selection process is the</w:t>
      </w:r>
      <w:r>
        <w:t xml:space="preserve"> </w:t>
      </w:r>
      <w:r>
        <w:rPr>
          <w:iCs/>
          <w:i/>
        </w:rPr>
        <w:t xml:space="preserve">order</w:t>
      </w:r>
      <w:r>
        <w:t xml:space="preserve"> </w:t>
      </w:r>
      <w:r>
        <w:t xml:space="preserve">of predicted probabilities for each person rather than the values themselves.</w:t>
      </w:r>
    </w:p>
    <w:bookmarkEnd w:id="95"/>
    <w:bookmarkStart w:id="99"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used a relatively interpretable statistical algorithm, GLMNet, which outputs parameter estimates and reduces dimensionality of the feature set. We also calculated Shapley values to understand relative feature importance among the predictors in our model.</w:t>
      </w:r>
    </w:p>
    <w:bookmarkStart w:id="96" w:name="Xfe566e5a4f51db31614facbc52fe63ded672b0f"/>
    <w:p>
      <w:pPr>
        <w:pStyle w:val="Heading4"/>
      </w:pPr>
      <w:r>
        <w:t xml:space="preserve">Prescriptive factors for treatment selection</w:t>
      </w:r>
    </w:p>
    <w:p>
      <w:pPr>
        <w:pStyle w:val="FirstParagraph"/>
      </w:pPr>
      <w:r>
        <w:t xml:space="preserve">Using these methods for interpretable machine learning, we were able to identify</w:t>
      </w:r>
      <w:r>
        <w:t xml:space="preserve"> </w:t>
      </w:r>
      <w:r>
        <w:rPr>
          <w:iCs/>
          <w:i/>
        </w:rPr>
        <w:t xml:space="preserve">prescriptive</w:t>
      </w:r>
      <w:r>
        <w:t xml:space="preserve"> </w:t>
      </w:r>
      <w:r>
        <w:t xml:space="preserve">factors that predict differential success (i.e., features that interact with treatment).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factor that explains sufficient variance to make differential predictions by treatment on its own. Rather, we need to consider many features simultaneously, each of which offers only a small contribution but which together can guide treatment selection.</w:t>
      </w:r>
    </w:p>
    <w:p>
      <w:pPr>
        <w:pStyle w:val="BodyText"/>
      </w:pPr>
      <w:r>
        <w:t xml:space="preserve">All the features considered in this model were expected to be relevant to predicting smoking cessation overall. The selection of baseline characteristics to be assessed in the original trial was guided by domain expertise and decades of research. For example, it makes sense that having most of your friends or family smoke would decrease the probability of quitting successfully. What may be less immediately intuitive, however, is why this characteristic further decreases the probability of quitting successfully specifically when treated with varenicline. This example demonstrates the value of the suite of machine learning tools: models can be built with high-dimensional data, allowing us to identify unexpected relationships, which we can then elucidate and understand using interpretable machine learning techniques.</w:t>
      </w:r>
    </w:p>
    <w:bookmarkEnd w:id="96"/>
    <w:bookmarkStart w:id="97" w:name="Xa45a0f4ff5f35f3ed3e9ebf67e5ac8f6041868e"/>
    <w:p>
      <w:pPr>
        <w:pStyle w:val="Heading4"/>
      </w:pPr>
      <w:r>
        <w:t xml:space="preserve">Prognostic factors for treatment development</w:t>
      </w:r>
    </w:p>
    <w:p>
      <w:pPr>
        <w:pStyle w:val="FirstParagraph"/>
      </w:pPr>
      <w:r>
        <w:t xml:space="preserve">In addition to prescriptive factors, we identified</w:t>
      </w:r>
      <w:r>
        <w:t xml:space="preserve"> </w:t>
      </w:r>
      <w:r>
        <w:rPr>
          <w:iCs/>
          <w:i/>
        </w:rPr>
        <w:t xml:space="preserve">prognostic</w:t>
      </w:r>
      <w:r>
        <w:t xml:space="preserve"> </w:t>
      </w:r>
      <w:r>
        <w:t xml:space="preserve">factors that predict smoking cessation overall (i.e., features with</w:t>
      </w:r>
      <w:r>
        <w:t xml:space="preserve"> </w:t>
      </w:r>
      <w:r>
        <w:t xml:space="preserve">“</w:t>
      </w:r>
      <w:r>
        <w:t xml:space="preserve">main effects</w:t>
      </w:r>
      <w:r>
        <w:t xml:space="preserve">”</w:t>
      </w:r>
      <w:r>
        <w:t xml:space="preserve">). Although these features are not useful for selecting among the treatments in our model, they are valuable in several other ways.</w:t>
      </w:r>
    </w:p>
    <w:p>
      <w:pPr>
        <w:pStyle w:val="BodyText"/>
      </w:pPr>
      <w:r>
        <w:t xml:space="preserve">These features contribute to the literature on prognostic factors that predict smoking cessation. In particular, they support the conclusion from a recent review that predictors of smoking cessation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smoking cessation.</w:t>
      </w:r>
    </w:p>
    <w:p>
      <w:pPr>
        <w:pStyle w:val="BodyText"/>
      </w:pPr>
      <w:r>
        <w:t xml:space="preserve">Additionally, these prognostic factors may yet help to advance precision mental health goals. These factors may represent mechanisms underlying smoking cessation success and thus offer targeted areas for future treatment development. They also may be used to tailor existing treatments to increase success across individuals. For example, greater life satisfaction and higher importance of quitting predicted a greater chance of successfully quitting. Perhaps motivational interviewing/motivational enhancement therapy techniques that might address these factors could be used in pre-cessation counseling. These improvements could be made more scalable by offering psychoeducation and support tool links in a website where people complete the remote assessment for treatment selection.</w:t>
      </w:r>
    </w:p>
    <w:p>
      <w:pPr>
        <w:pStyle w:val="BodyText"/>
      </w:pPr>
      <w:r>
        <w:t xml:space="preserve">It is also possible that features that emerged as prognostic factors in our model may serve as prescriptive factors related to other treatments not included in this study. For example, buproprion is another first-line smoking cessation medication. It may be that some features in this model do not differentiate among C-NRT, nicotine patch, or varenicline but would differentiate between one of these treatments and buproprion.</w:t>
      </w:r>
    </w:p>
    <w:p>
      <w:pPr>
        <w:pStyle w:val="BodyText"/>
      </w:pPr>
      <w:r>
        <w:t xml:space="preserve">Finally, it is important to remember that because GLMNet aims to reduce dimensionality by removing highly correlated features, features that were not retained are not necessarily unimportant. Thus, we cannot conclude that the features that make up our final model are the only ones that are important, or that the features that were excluded offer no predictive value.</w:t>
      </w:r>
    </w:p>
    <w:bookmarkEnd w:id="97"/>
    <w:bookmarkStart w:id="98" w:name="the-role-of-demographic-features"/>
    <w:p>
      <w:pPr>
        <w:pStyle w:val="Heading4"/>
      </w:pPr>
      <w:r>
        <w:t xml:space="preserve">The role of demographic features</w:t>
      </w:r>
    </w:p>
    <w:p>
      <w:pPr>
        <w:pStyle w:val="FirstParagraph"/>
      </w:pPr>
      <w:r>
        <w:t xml:space="preserve">Several demographic features emerged as important prognostic and prescriptive factors: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98"/>
    <w:bookmarkEnd w:id="99"/>
    <w:bookmarkStart w:id="103" w:name="future-directions"/>
    <w:p>
      <w:pPr>
        <w:pStyle w:val="Heading3"/>
      </w:pPr>
      <w:r>
        <w:t xml:space="preserve">Future directions</w:t>
      </w:r>
    </w:p>
    <w:bookmarkStart w:id="100" w:name="algorithmic-fairness"/>
    <w:p>
      <w:pPr>
        <w:pStyle w:val="Heading4"/>
      </w:pPr>
      <w:r>
        <w:t xml:space="preserve">Algorithmic fairness</w:t>
      </w:r>
    </w:p>
    <w:p>
      <w:pPr>
        <w:pStyle w:val="FirstParagraph"/>
      </w:pPr>
      <w:r>
        <w:t xml:space="preserve">Our sample was representative across several demographic characteristics; however, as noted above, we had poor representation of several racial minority groups and of Hispanic and Latino/a individuals. Our model can only be as good as the data with which it was developed</w:t>
      </w:r>
      <w:r>
        <w:t xml:space="preserve"> </w:t>
      </w:r>
      <w:r>
        <w:t xml:space="preserve">(Aldridge 2019)</w:t>
      </w:r>
      <w:r>
        <w:t xml:space="preserve">. We must make a concerted effort to build treatment selection models using data where there was good representation across as many marginalized characteristics as possible. Otherwise, we run the risk of exacerbating rather than mitigating mental healthcare disparities.</w:t>
      </w:r>
    </w:p>
    <w:p>
      <w:pPr>
        <w:pStyle w:val="BodyText"/>
      </w:pPr>
      <w:r>
        <w:t xml:space="preserve">There are also tools to examine the fairness of a prediction algorithm across sub-populations. For example, we could assess whether our model performs as well for White and non-White individuals. We could similarly examine whether our treatment selection benefit differs by any demographic characteristics in our sample. We plan to pursue both these analyses to identify biases at play in our prediction and treatment selection models.</w:t>
      </w:r>
    </w:p>
    <w:bookmarkEnd w:id="100"/>
    <w:bookmarkStart w:id="101" w:name="prospective-clinical-trial"/>
    <w:p>
      <w:pPr>
        <w:pStyle w:val="Heading4"/>
      </w:pPr>
      <w:r>
        <w:t xml:space="preserve">Prospective clinical trial</w:t>
      </w:r>
    </w:p>
    <w:p>
      <w:pPr>
        <w:pStyle w:val="FirstParagraph"/>
      </w:pPr>
      <w:r>
        <w:t xml:space="preserve">We made a concerted effort in this project to evaluate how our treatment selection model would perform for new patients. Specifically, we used leave-one-out cross-validation to calculate predictions for each held-out individual that were then used to select that person’s best treatment.</w:t>
      </w:r>
    </w:p>
    <w:p>
      <w:pPr>
        <w:pStyle w:val="BodyText"/>
      </w:pPr>
      <w:r>
        <w:t xml:space="preserve">Regardless, the ultimate test of this model’s clinical benefit will be in a prospective trial. This trial will offer two tests. First, it will assess whether using this model is feasible and acceptable to patients and clinicians in clinical practice. There may be opportunities to incorporate input directly from these stakeholders. Second, we can compare treatment success among individuals who receive a model-assigned best treatment to treatment success when using traditional treatment selection. This will assess the clinical benefit of our treatment selection model in an entirely new sample.</w:t>
      </w:r>
    </w:p>
    <w:bookmarkEnd w:id="101"/>
    <w:bookmarkStart w:id="102" w:name="X934b3b3af83d8c204ee80d04593d9f0949c9f27"/>
    <w:p>
      <w:pPr>
        <w:pStyle w:val="Heading4"/>
      </w:pPr>
      <w:r>
        <w:t xml:space="preserve">Precision mental health for chronic, relapsing disorders</w:t>
      </w:r>
    </w:p>
    <w:p>
      <w:pPr>
        <w:pStyle w:val="FirstParagraph"/>
      </w:pPr>
      <w:r>
        <w:t xml:space="preserve">Alongside many exciting findings, this project also demonstrates that it is difficult to predict complex outcomes like treatment success using distal predictors. Indeed, our model predicting point-prevalence abstinence at 4 weeks was not particularly accurate, but model performance became even worse when we built models predicting 6-month abstinence rates (median auROC across held-out test sets: 0.629; see Supplement). Our model fitting, selection, and evaluation process was identical for these models, suggesting that the greater distance between our baseline predictors and abstinence outcomes was the cause of the degraded performance.</w:t>
      </w:r>
    </w:p>
    <w:p>
      <w:pPr>
        <w:pStyle w:val="BodyText"/>
      </w:pPr>
      <w:r>
        <w:t xml:space="preserve">Relatedly, the benefit of our treatment selection model is short-lived. There was an overall effect of treatment matching, though this seems to be carried primarily by the significant simple effect at 4 weeks. There is no longer statistically significant benefit at 12 weeks, though there is a numeric difference, and there is no statistical or numeric difference at all by 6 months.</w:t>
      </w:r>
    </w:p>
    <w:p>
      <w:pPr>
        <w:pStyle w:val="BodyText"/>
      </w:pPr>
      <w:r>
        <w:t xml:space="preserve">Initial treatment success is critical, especially for cigarette smoking where even reducing smoking or quitting for some period of time can improve health outcomes and life expectancy</w:t>
      </w:r>
      <w:r>
        <w:t xml:space="preserve"> </w:t>
      </w:r>
      <w:r>
        <w:t xml:space="preserve">(Jha Prabhat et al. 2013)</w:t>
      </w:r>
      <w:r>
        <w:t xml:space="preserve">. Additionally, smoking early in a quit attempt can have strong negative consequences: decreased self-efficacy (shown to be a prognostic factor predicting smoking cessation), reduced treatment adherence, and premature treatment cessation</w:t>
      </w:r>
      <w:r>
        <w:t xml:space="preserve"> </w:t>
      </w:r>
      <w:r>
        <w:t xml:space="preserve">(Schlam and Baker 2013)</w:t>
      </w:r>
      <w:r>
        <w:t xml:space="preserve">. Findings such as these highlight that selecting a treatment that increases abstinence in early recovery (i.e., at 4 weeks) is still quite useful.</w:t>
      </w:r>
    </w:p>
    <w:p>
      <w:pPr>
        <w:pStyle w:val="BodyText"/>
      </w:pPr>
      <w:r>
        <w:t xml:space="preserve">Nevertheless, we were of course hopeful that treatment matching benefits would endure. However, it is perhaps unsurprising that they do not. Many of the baseline characteristics used for prediction in this model were based on a single assessment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predictors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Thus, there are several possibilities for the lack of benefit at later assessment points. First, it may be that the factors that predict differential treatment success at 4 weeks are qualitatively different than those that predict differential treatment success later on. We have the opportunity to examine these potential differences by comparing feature importance for our 4-week models with feature importance from models built to predict later outcomes.</w:t>
      </w:r>
    </w:p>
    <w:p>
      <w:pPr>
        <w:pStyle w:val="BodyText"/>
      </w:pPr>
      <w:r>
        <w:t xml:space="preserve">Second, it may be that there are consistent relationships among predictors and outcomes over time, but because these characteristics can change dynamically</w:t>
      </w:r>
      <w:r>
        <w:t xml:space="preserve"> </w:t>
      </w:r>
      <w:r>
        <w:rPr>
          <w:iCs/>
          <w:i/>
        </w:rPr>
        <w:t xml:space="preserve">within an individual</w:t>
      </w:r>
      <w:r>
        <w:t xml:space="preserve">, what was the right treatment for them based on their pre-quit characteristics is no longer the right treatment by 12 weeks, 6 months, or beyond. Consider the example of the feature that assesses whether someone lives with another smoker other than their spouse/partner. The same answer to this question increases the likelihood of quitting using C-NRT and decreases the likelihood of quitting using varenicline in our model. What if this was an important factor that led to C-NRT being selected as an individual’s best treatment - and then they move?</w:t>
      </w:r>
    </w:p>
    <w:p>
      <w:pPr>
        <w:pStyle w:val="BodyText"/>
      </w:pPr>
      <w:r>
        <w:t xml:space="preserve">Examples like these are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that we must overcome to succeed with precision mental health goals in addiction:</w:t>
      </w:r>
      <w:r>
        <w:t xml:space="preserve"> </w:t>
      </w:r>
      <w:r>
        <w:t xml:space="preserve">“</w:t>
      </w:r>
      <w:r>
        <w:t xml:space="preserve">an unspoken assumption underlying much research in this area has been that the purported mechanism of a given addiction treatment is static over time… research on this topic has not typically paid appropriate attention to the dynamic nature of addictive behavior and the complexity of the relapse process</w:t>
      </w:r>
      <w:r>
        <w:t xml:space="preserve">”</w:t>
      </w:r>
      <w:r>
        <w:t xml:space="preserve"> </w:t>
      </w:r>
      <w:r>
        <w:t xml:space="preserve">(Oliver and McClernon 2017)</w:t>
      </w:r>
      <w:r>
        <w:t xml:space="preserve">.</w:t>
      </w:r>
    </w:p>
    <w:p>
      <w:pPr>
        <w:pStyle w:val="BodyText"/>
      </w:pPr>
      <w:r>
        <w:t xml:space="preserve">Thus, though important, initial treatment selection is insufficient for chronic, relapsing disorders. Conditions like these require long-term, continuing care - a fact supported by our finding that abstinence rates declined over time (i.e., main effect of time), which is consistent with decades of research</w:t>
      </w:r>
      <w:r>
        <w:t xml:space="preserve"> </w:t>
      </w:r>
      <w:r>
        <w:t xml:space="preserve">(Baker and McCarthy 2021)</w:t>
      </w:r>
      <w:r>
        <w:t xml:space="preserve">. Future precision mental health research must take into account both this need for long-term care and the reality of the dynamic nature of tobacco and other substance use disorders. This will require ongoing assessment of key risk factors as well as treatment selection that adapts over time. Adaptations may include adjustments to medications (e.g., changing doses, changing medications), offering other traditional treatments (e.g., psychosocial counseling), and incorporating alternative treatments and supports (e.g., mobile health apps).</w:t>
      </w:r>
    </w:p>
    <w:bookmarkEnd w:id="102"/>
    <w:bookmarkEnd w:id="103"/>
    <w:bookmarkStart w:id="328"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The ultimate test of this treatment selection model will be in a prospective trial that assesses the feasibility, acceptability, and effectiveness of this tool in clinical practice. We are optimistic about the promise our model holds to improve the public health burden of cigarette smoking.</w:t>
      </w:r>
    </w:p>
    <w:bookmarkStart w:id="327" w:name="refs"/>
    <w:bookmarkStart w:id="105"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104">
        <w:r>
          <w:rPr>
            <w:rStyle w:val="Hyperlink"/>
          </w:rPr>
          <w:t xml:space="preserve">https://doi.org/10.1016/j.jval.2022.04.206</w:t>
        </w:r>
      </w:hyperlink>
      <w:r>
        <w:t xml:space="preserve">.</w:t>
      </w:r>
    </w:p>
    <w:bookmarkEnd w:id="105"/>
    <w:bookmarkStart w:id="107"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106">
        <w:r>
          <w:rPr>
            <w:rStyle w:val="Hyperlink"/>
          </w:rPr>
          <w:t xml:space="preserve">https://doi.org/10.1016/S2468-2667(19)30112-4</w:t>
        </w:r>
      </w:hyperlink>
      <w:r>
        <w:t xml:space="preserve">.</w:t>
      </w:r>
    </w:p>
    <w:bookmarkEnd w:id="107"/>
    <w:bookmarkStart w:id="109"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108">
        <w:r>
          <w:rPr>
            <w:rStyle w:val="Hyperlink"/>
          </w:rPr>
          <w:t xml:space="preserve">https://doi.org/10.1176/appi.books.9780890425596</w:t>
        </w:r>
      </w:hyperlink>
      <w:r>
        <w:t xml:space="preserve">.</w:t>
      </w:r>
    </w:p>
    <w:bookmarkEnd w:id="109"/>
    <w:bookmarkStart w:id="111"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110">
        <w:r>
          <w:rPr>
            <w:rStyle w:val="Hyperlink"/>
          </w:rPr>
          <w:t xml:space="preserve">https://doi.org/10.1056/NEJMp1301935</w:t>
        </w:r>
      </w:hyperlink>
      <w:r>
        <w:t xml:space="preserve">.</w:t>
      </w:r>
    </w:p>
    <w:bookmarkEnd w:id="111"/>
    <w:bookmarkStart w:id="113"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112">
        <w:r>
          <w:rPr>
            <w:rStyle w:val="Hyperlink"/>
          </w:rPr>
          <w:t xml:space="preserve">https://doi.org/10.1146/annurev-clinpsy-081219-090343</w:t>
        </w:r>
      </w:hyperlink>
      <w:r>
        <w:t xml:space="preserve">.</w:t>
      </w:r>
    </w:p>
    <w:bookmarkEnd w:id="113"/>
    <w:bookmarkStart w:id="115"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14">
        <w:r>
          <w:rPr>
            <w:rStyle w:val="Hyperlink"/>
          </w:rPr>
          <w:t xml:space="preserve">https://doi.org/10.1001/jama.2015.19284</w:t>
        </w:r>
      </w:hyperlink>
      <w:r>
        <w:t xml:space="preserve">.</w:t>
      </w:r>
    </w:p>
    <w:bookmarkEnd w:id="115"/>
    <w:bookmarkStart w:id="117"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116">
        <w:r>
          <w:rPr>
            <w:rStyle w:val="Hyperlink"/>
          </w:rPr>
          <w:t xml:space="preserve">https://doi.org/10.1176/appi.ajp.21100972</w:t>
        </w:r>
      </w:hyperlink>
      <w:r>
        <w:t xml:space="preserve">.</w:t>
      </w:r>
    </w:p>
    <w:bookmarkEnd w:id="117"/>
    <w:bookmarkStart w:id="119"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18">
        <w:r>
          <w:rPr>
            <w:rStyle w:val="Hyperlink"/>
          </w:rPr>
          <w:t xml:space="preserve">https://doi.org/10.1016/j.addicn.2023.100068</w:t>
        </w:r>
      </w:hyperlink>
      <w:r>
        <w:t xml:space="preserve">.</w:t>
      </w:r>
    </w:p>
    <w:bookmarkEnd w:id="119"/>
    <w:bookmarkStart w:id="121"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20">
        <w:r>
          <w:rPr>
            <w:rStyle w:val="Hyperlink"/>
          </w:rPr>
          <w:t xml:space="preserve">https://doi.org/10.1007/s10488-020-01065-8</w:t>
        </w:r>
      </w:hyperlink>
      <w:r>
        <w:t xml:space="preserve">.</w:t>
      </w:r>
    </w:p>
    <w:bookmarkEnd w:id="121"/>
    <w:bookmarkStart w:id="12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22">
        <w:r>
          <w:rPr>
            <w:rStyle w:val="Hyperlink"/>
          </w:rPr>
          <w:t xml:space="preserve">https://doi.org/10.1007/s10488-016-0718-5</w:t>
        </w:r>
      </w:hyperlink>
      <w:r>
        <w:t xml:space="preserve">.</w:t>
      </w:r>
    </w:p>
    <w:bookmarkEnd w:id="123"/>
    <w:bookmarkStart w:id="124"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24"/>
    <w:bookmarkStart w:id="126"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125">
        <w:r>
          <w:rPr>
            <w:rStyle w:val="Hyperlink"/>
          </w:rPr>
          <w:t xml:space="preserve">https://doi.org/10.1146/annurev-clinpsy-050817-084847</w:t>
        </w:r>
      </w:hyperlink>
      <w:r>
        <w:t xml:space="preserve">.</w:t>
      </w:r>
    </w:p>
    <w:bookmarkEnd w:id="126"/>
    <w:bookmarkStart w:id="128"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27">
        <w:r>
          <w:rPr>
            <w:rStyle w:val="Hyperlink"/>
          </w:rPr>
          <w:t xml:space="preserve">https://doi.org/10.1146/annurev.clinpsy.3.022806.091455</w:t>
        </w:r>
      </w:hyperlink>
      <w:r>
        <w:t xml:space="preserve">.</w:t>
      </w:r>
    </w:p>
    <w:bookmarkEnd w:id="128"/>
    <w:bookmarkStart w:id="130"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29">
        <w:r>
          <w:rPr>
            <w:rStyle w:val="Hyperlink"/>
          </w:rPr>
          <w:t xml:space="preserve">https://doi.org/10.1002/14651858.CD006103.pub7</w:t>
        </w:r>
      </w:hyperlink>
      <w:r>
        <w:t xml:space="preserve">.</w:t>
      </w:r>
    </w:p>
    <w:bookmarkEnd w:id="130"/>
    <w:bookmarkStart w:id="132"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31">
        <w:r>
          <w:rPr>
            <w:rStyle w:val="Hyperlink"/>
          </w:rPr>
          <w:t xml:space="preserve">https://doi.org/10.1002/14651858.CD009329.pub2</w:t>
        </w:r>
      </w:hyperlink>
      <w:r>
        <w:t xml:space="preserve">.</w:t>
      </w:r>
    </w:p>
    <w:bookmarkEnd w:id="132"/>
    <w:bookmarkStart w:id="134"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133">
        <w:r>
          <w:rPr>
            <w:rStyle w:val="Hyperlink"/>
          </w:rPr>
          <w:t xml:space="preserve">https://doi.org/10.5888/pcd14.160600</w:t>
        </w:r>
      </w:hyperlink>
      <w:r>
        <w:t xml:space="preserve">.</w:t>
      </w:r>
    </w:p>
    <w:bookmarkEnd w:id="134"/>
    <w:bookmarkStart w:id="135"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135"/>
    <w:bookmarkStart w:id="137"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136">
        <w:r>
          <w:rPr>
            <w:rStyle w:val="Hyperlink"/>
          </w:rPr>
          <w:t xml:space="preserve">https://doi.org/10.1136/bmjopen-2016-011045</w:t>
        </w:r>
      </w:hyperlink>
      <w:r>
        <w:t xml:space="preserve">.</w:t>
      </w:r>
    </w:p>
    <w:bookmarkEnd w:id="137"/>
    <w:bookmarkStart w:id="139"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38">
        <w:r>
          <w:rPr>
            <w:rStyle w:val="Hyperlink"/>
          </w:rPr>
          <w:t xml:space="preserve">https://doi.org/10.1002/cpt.1971</w:t>
        </w:r>
      </w:hyperlink>
      <w:r>
        <w:t xml:space="preserve">.</w:t>
      </w:r>
    </w:p>
    <w:bookmarkEnd w:id="139"/>
    <w:bookmarkStart w:id="141"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140">
        <w:r>
          <w:rPr>
            <w:rStyle w:val="Hyperlink"/>
          </w:rPr>
          <w:t xml:space="preserve">https://doi.org/10.1016/j.neulet.2016.05.033</w:t>
        </w:r>
      </w:hyperlink>
      <w:r>
        <w:t xml:space="preserve">.</w:t>
      </w:r>
    </w:p>
    <w:bookmarkEnd w:id="141"/>
    <w:bookmarkStart w:id="143"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142">
        <w:r>
          <w:rPr>
            <w:rStyle w:val="Hyperlink"/>
          </w:rPr>
          <w:t xml:space="preserve">https://doi.org/10.1093/ntr/ntv125</w:t>
        </w:r>
      </w:hyperlink>
      <w:r>
        <w:t xml:space="preserve">.</w:t>
      </w:r>
    </w:p>
    <w:bookmarkEnd w:id="143"/>
    <w:bookmarkStart w:id="145"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144">
        <w:r>
          <w:rPr>
            <w:rStyle w:val="Hyperlink"/>
          </w:rPr>
          <w:t xml:space="preserve">https://doi.org/10.1007/s11336-013-9328-2</w:t>
        </w:r>
      </w:hyperlink>
      <w:r>
        <w:t xml:space="preserve">.</w:t>
      </w:r>
    </w:p>
    <w:bookmarkEnd w:id="145"/>
    <w:bookmarkStart w:id="147"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146">
        <w:r>
          <w:rPr>
            <w:rStyle w:val="Hyperlink"/>
          </w:rPr>
          <w:t xml:space="preserve">https://doi.org/10.1146/annurev-clinpsy-050817-084746</w:t>
        </w:r>
      </w:hyperlink>
      <w:r>
        <w:t xml:space="preserve">.</w:t>
      </w:r>
    </w:p>
    <w:bookmarkEnd w:id="147"/>
    <w:bookmarkStart w:id="149"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148">
        <w:r>
          <w:rPr>
            <w:rStyle w:val="Hyperlink"/>
          </w:rPr>
          <w:t xml:space="preserve">https://doi.org/10.1007/978-3-319-72206-1</w:t>
        </w:r>
      </w:hyperlink>
      <w:r>
        <w:t xml:space="preserve">.</w:t>
      </w:r>
    </w:p>
    <w:bookmarkEnd w:id="149"/>
    <w:bookmarkStart w:id="151"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150">
        <w:r>
          <w:rPr>
            <w:rStyle w:val="Hyperlink"/>
          </w:rPr>
          <w:t xml:space="preserve">https://doi.org/10.15585/mmwr.mm6946a4</w:t>
        </w:r>
      </w:hyperlink>
      <w:r>
        <w:t xml:space="preserve">.</w:t>
      </w:r>
    </w:p>
    <w:bookmarkEnd w:id="151"/>
    <w:bookmarkStart w:id="153"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52">
        <w:r>
          <w:rPr>
            <w:rStyle w:val="Hyperlink"/>
          </w:rPr>
          <w:t xml:space="preserve">https://doi.org/10.1093/ntr/nty259</w:t>
        </w:r>
      </w:hyperlink>
      <w:r>
        <w:t xml:space="preserve">.</w:t>
      </w:r>
    </w:p>
    <w:bookmarkEnd w:id="153"/>
    <w:bookmarkStart w:id="155"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154">
        <w:r>
          <w:rPr>
            <w:rStyle w:val="Hyperlink"/>
          </w:rPr>
          <w:t xml:space="preserve">https://doi.org/10.1348/0144665031752934</w:t>
        </w:r>
      </w:hyperlink>
      <w:r>
        <w:t xml:space="preserve">.</w:t>
      </w:r>
    </w:p>
    <w:bookmarkEnd w:id="155"/>
    <w:bookmarkStart w:id="157"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56">
        <w:r>
          <w:rPr>
            <w:rStyle w:val="Hyperlink"/>
          </w:rPr>
          <w:t xml:space="preserve">https://doi.org/10.1016/j.addbeh.2016.12.011</w:t>
        </w:r>
      </w:hyperlink>
      <w:r>
        <w:t xml:space="preserve">.</w:t>
      </w:r>
    </w:p>
    <w:bookmarkEnd w:id="157"/>
    <w:bookmarkStart w:id="159"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58">
        <w:r>
          <w:rPr>
            <w:rStyle w:val="Hyperlink"/>
          </w:rPr>
          <w:t xml:space="preserve">https://doi.org/10.1016/j.addbeh.2003.08.014</w:t>
        </w:r>
      </w:hyperlink>
      <w:r>
        <w:t xml:space="preserve">.</w:t>
      </w:r>
    </w:p>
    <w:bookmarkEnd w:id="159"/>
    <w:bookmarkStart w:id="161"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60">
        <w:r>
          <w:rPr>
            <w:rStyle w:val="Hyperlink"/>
          </w:rPr>
          <w:t xml:space="preserve">https://doi.org/10.1016/j.brat.2019.103506</w:t>
        </w:r>
      </w:hyperlink>
      <w:r>
        <w:t xml:space="preserve">.</w:t>
      </w:r>
    </w:p>
    <w:bookmarkEnd w:id="161"/>
    <w:bookmarkStart w:id="163"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62">
        <w:r>
          <w:rPr>
            <w:rStyle w:val="Hyperlink"/>
          </w:rPr>
          <w:t xml:space="preserve">https://doi.org/10.1371/journal.pone.0083875</w:t>
        </w:r>
      </w:hyperlink>
      <w:r>
        <w:t xml:space="preserve">.</w:t>
      </w:r>
    </w:p>
    <w:bookmarkEnd w:id="163"/>
    <w:bookmarkStart w:id="164"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164"/>
    <w:bookmarkStart w:id="166"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65">
        <w:r>
          <w:rPr>
            <w:rStyle w:val="Hyperlink"/>
          </w:rPr>
          <w:t xml:space="preserve">https://doi.org/10.1146/annurev-clinpsy-032816-045037</w:t>
        </w:r>
      </w:hyperlink>
      <w:r>
        <w:t xml:space="preserve">.</w:t>
      </w:r>
    </w:p>
    <w:bookmarkEnd w:id="166"/>
    <w:bookmarkStart w:id="168"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67">
        <w:r>
          <w:rPr>
            <w:rStyle w:val="Hyperlink"/>
          </w:rPr>
          <w:t xml:space="preserve">https://doi.org/10.1186/s12889-023-15859-6</w:t>
        </w:r>
      </w:hyperlink>
      <w:r>
        <w:t xml:space="preserve">.</w:t>
      </w:r>
    </w:p>
    <w:bookmarkEnd w:id="168"/>
    <w:bookmarkStart w:id="170"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69">
        <w:r>
          <w:rPr>
            <w:rStyle w:val="Hyperlink"/>
          </w:rPr>
          <w:t xml:space="preserve">https://doi.org/10.3390/info14080426</w:t>
        </w:r>
      </w:hyperlink>
      <w:r>
        <w:t xml:space="preserve">.</w:t>
      </w:r>
    </w:p>
    <w:bookmarkEnd w:id="170"/>
    <w:bookmarkStart w:id="172"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71">
        <w:r>
          <w:rPr>
            <w:rStyle w:val="Hyperlink"/>
          </w:rPr>
          <w:t xml:space="preserve">https://doi.org/10.1016/j.biopsych.2020.02.015</w:t>
        </w:r>
      </w:hyperlink>
      <w:r>
        <w:t xml:space="preserve">.</w:t>
      </w:r>
    </w:p>
    <w:bookmarkEnd w:id="172"/>
    <w:bookmarkStart w:id="174"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73">
        <w:r>
          <w:rPr>
            <w:rStyle w:val="Hyperlink"/>
          </w:rPr>
          <w:t xml:space="preserve">https://doi.org/10.1038/ng.3404</w:t>
        </w:r>
      </w:hyperlink>
      <w:r>
        <w:t xml:space="preserve">.</w:t>
      </w:r>
    </w:p>
    <w:bookmarkEnd w:id="174"/>
    <w:bookmarkStart w:id="175"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75"/>
    <w:bookmarkStart w:id="176"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76"/>
    <w:bookmarkStart w:id="178"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77">
        <w:r>
          <w:rPr>
            <w:rStyle w:val="Hyperlink"/>
          </w:rPr>
          <w:t xml:space="preserve">https://doi.org/10.1037/pha0000141</w:t>
        </w:r>
      </w:hyperlink>
      <w:r>
        <w:t xml:space="preserve">.</w:t>
      </w:r>
    </w:p>
    <w:bookmarkEnd w:id="178"/>
    <w:bookmarkStart w:id="180"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79">
        <w:r>
          <w:rPr>
            <w:rStyle w:val="Hyperlink"/>
          </w:rPr>
          <w:t xml:space="preserve">https://doi.org/10.1038/clpt.2014.124</w:t>
        </w:r>
      </w:hyperlink>
      <w:r>
        <w:t xml:space="preserve">.</w:t>
      </w:r>
    </w:p>
    <w:bookmarkEnd w:id="180"/>
    <w:bookmarkStart w:id="181"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81"/>
    <w:bookmarkStart w:id="183"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82">
        <w:r>
          <w:rPr>
            <w:rStyle w:val="Hyperlink"/>
          </w:rPr>
          <w:t xml:space="preserve">https://doi.org/10.1080/10826084.2019.1691593</w:t>
        </w:r>
      </w:hyperlink>
      <w:r>
        <w:t xml:space="preserve">.</w:t>
      </w:r>
    </w:p>
    <w:bookmarkEnd w:id="183"/>
    <w:bookmarkStart w:id="184"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184"/>
    <w:bookmarkStart w:id="186"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85">
        <w:r>
          <w:rPr>
            <w:rStyle w:val="Hyperlink"/>
          </w:rPr>
          <w:t xml:space="preserve">https://doi.org/10.1016/j.amepre.2017.01.038</w:t>
        </w:r>
      </w:hyperlink>
      <w:r>
        <w:t xml:space="preserve">.</w:t>
      </w:r>
    </w:p>
    <w:bookmarkEnd w:id="186"/>
    <w:bookmarkStart w:id="188"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87">
        <w:r>
          <w:rPr>
            <w:rStyle w:val="Hyperlink"/>
          </w:rPr>
          <w:t xml:space="preserve">https://doi.org/10.1371/journal.pcbi.1005589</w:t>
        </w:r>
      </w:hyperlink>
      <w:r>
        <w:t xml:space="preserve">.</w:t>
      </w:r>
    </w:p>
    <w:bookmarkEnd w:id="188"/>
    <w:bookmarkStart w:id="190"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89">
        <w:r>
          <w:rPr>
            <w:rStyle w:val="Hyperlink"/>
          </w:rPr>
          <w:t xml:space="preserve">https://doi.org/10.1176/appi.ajp.2014.14020138</w:t>
        </w:r>
      </w:hyperlink>
      <w:r>
        <w:t xml:space="preserve">.</w:t>
      </w:r>
    </w:p>
    <w:bookmarkEnd w:id="190"/>
    <w:bookmarkStart w:id="192"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91">
        <w:r>
          <w:rPr>
            <w:rStyle w:val="Hyperlink"/>
          </w:rPr>
          <w:t xml:space="preserve">https://doi.org/10.1371/journal.pone.0286883</w:t>
        </w:r>
      </w:hyperlink>
      <w:r>
        <w:t xml:space="preserve">.</w:t>
      </w:r>
    </w:p>
    <w:bookmarkEnd w:id="192"/>
    <w:bookmarkStart w:id="193"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93"/>
    <w:bookmarkStart w:id="195"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94">
        <w:r>
          <w:rPr>
            <w:rStyle w:val="Hyperlink"/>
          </w:rPr>
          <w:t xml:space="preserve">https://doi.org/10.15585/mmwr.mm6444a2</w:t>
        </w:r>
      </w:hyperlink>
      <w:r>
        <w:t xml:space="preserve">.</w:t>
      </w:r>
    </w:p>
    <w:bookmarkEnd w:id="195"/>
    <w:bookmarkStart w:id="197"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96">
        <w:r>
          <w:rPr>
            <w:rStyle w:val="Hyperlink"/>
          </w:rPr>
          <w:t xml:space="preserve">https://doi.org/10.1007/978-1-4614-7138-7</w:t>
        </w:r>
      </w:hyperlink>
      <w:r>
        <w:t xml:space="preserve">.</w:t>
      </w:r>
    </w:p>
    <w:bookmarkEnd w:id="197"/>
    <w:bookmarkStart w:id="199"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98">
        <w:r>
          <w:rPr>
            <w:rStyle w:val="Hyperlink"/>
          </w:rPr>
          <w:t xml:space="preserve">https://doi.org/10.1056/NEJMsa1211128</w:t>
        </w:r>
      </w:hyperlink>
      <w:r>
        <w:t xml:space="preserve">.</w:t>
      </w:r>
    </w:p>
    <w:bookmarkEnd w:id="199"/>
    <w:bookmarkStart w:id="201"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200">
        <w:r>
          <w:rPr>
            <w:rStyle w:val="Hyperlink"/>
          </w:rPr>
          <w:t xml:space="preserve">https://doi.org/10.1023/A:1008987426876</w:t>
        </w:r>
      </w:hyperlink>
      <w:r>
        <w:t xml:space="preserve">.</w:t>
      </w:r>
    </w:p>
    <w:bookmarkEnd w:id="201"/>
    <w:bookmarkStart w:id="203"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202">
        <w:r>
          <w:rPr>
            <w:rStyle w:val="Hyperlink"/>
          </w:rPr>
          <w:t xml:space="preserve">https://doi.org/10.1080/17460441.2018.1458090</w:t>
        </w:r>
      </w:hyperlink>
      <w:r>
        <w:t xml:space="preserve">.</w:t>
      </w:r>
    </w:p>
    <w:bookmarkEnd w:id="203"/>
    <w:bookmarkStart w:id="204" w:name="ref-kaiserObamaGivesEast2015"/>
    <w:p>
      <w:pPr>
        <w:pStyle w:val="Bibliography"/>
      </w:pPr>
      <w:r>
        <w:t xml:space="preserve">Kaiser, Jocelyn. 2015.</w:t>
      </w:r>
      <w:r>
        <w:t xml:space="preserve"> </w:t>
      </w:r>
      <w:r>
        <w:t xml:space="preserve">“Obama Gives</w:t>
      </w:r>
      <w:r>
        <w:t xml:space="preserve"> </w:t>
      </w:r>
      <w:r>
        <w:t xml:space="preserve">East Room</w:t>
      </w:r>
      <w:r>
        <w:t xml:space="preserve"> </w:t>
      </w:r>
      <w:r>
        <w:t xml:space="preserve">Rollout to</w:t>
      </w:r>
      <w:r>
        <w:t xml:space="preserve"> </w:t>
      </w:r>
      <w:r>
        <w:t xml:space="preserve">Precision Medicine Initiative</w:t>
      </w:r>
      <w:r>
        <w:t xml:space="preserve">.”</w:t>
      </w:r>
      <w:r>
        <w:t xml:space="preserve"> </w:t>
      </w:r>
      <w:r>
        <w:rPr>
          <w:iCs/>
          <w:i/>
        </w:rPr>
        <w:t xml:space="preserve">Science</w:t>
      </w:r>
      <w:r>
        <w:t xml:space="preserve">. https://www.science.org/content/article/obama-gives-east-room-rollout-precision-medicine-initiative.</w:t>
      </w:r>
    </w:p>
    <w:bookmarkEnd w:id="204"/>
    <w:bookmarkStart w:id="206"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205">
        <w:r>
          <w:rPr>
            <w:rStyle w:val="Hyperlink"/>
          </w:rPr>
          <w:t xml:space="preserve">https://doi.org/10.1111/j.1475-6773.2011.01314.x</w:t>
        </w:r>
      </w:hyperlink>
      <w:r>
        <w:t xml:space="preserve">.</w:t>
      </w:r>
    </w:p>
    <w:bookmarkEnd w:id="206"/>
    <w:bookmarkStart w:id="208"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207">
        <w:r>
          <w:rPr>
            <w:rStyle w:val="Hyperlink"/>
          </w:rPr>
          <w:t xml:space="preserve">https://doi.org/10.1016/j.addbeh.2015.07.019</w:t>
        </w:r>
      </w:hyperlink>
      <w:r>
        <w:t xml:space="preserve">.</w:t>
      </w:r>
    </w:p>
    <w:bookmarkEnd w:id="208"/>
    <w:bookmarkStart w:id="210"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209">
        <w:r>
          <w:rPr>
            <w:rStyle w:val="Hyperlink"/>
          </w:rPr>
          <w:t xml:space="preserve">https://doi.org/10.15288/jsad.2020.81.426</w:t>
        </w:r>
      </w:hyperlink>
      <w:r>
        <w:t xml:space="preserve">.</w:t>
      </w:r>
    </w:p>
    <w:bookmarkEnd w:id="210"/>
    <w:bookmarkStart w:id="212"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211">
        <w:r>
          <w:rPr>
            <w:rStyle w:val="Hyperlink"/>
          </w:rPr>
          <w:t xml:space="preserve">https://doi.org/10.1111/j.1465-3362.2012.00465.x</w:t>
        </w:r>
      </w:hyperlink>
      <w:r>
        <w:t xml:space="preserve">.</w:t>
      </w:r>
    </w:p>
    <w:bookmarkEnd w:id="212"/>
    <w:bookmarkStart w:id="214"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213">
        <w:r>
          <w:rPr>
            <w:rStyle w:val="Hyperlink"/>
          </w:rPr>
          <w:t xml:space="preserve">https://doi.org/10.1001/jamapsychiatry.2021.2500</w:t>
        </w:r>
      </w:hyperlink>
      <w:r>
        <w:t xml:space="preserve">.</w:t>
      </w:r>
    </w:p>
    <w:bookmarkEnd w:id="214"/>
    <w:bookmarkStart w:id="216"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215">
        <w:r>
          <w:rPr>
            <w:rStyle w:val="Hyperlink"/>
          </w:rPr>
          <w:t xml:space="preserve">https://doi.org/10.1037/a0028445</w:t>
        </w:r>
      </w:hyperlink>
      <w:r>
        <w:t xml:space="preserve">.</w:t>
      </w:r>
    </w:p>
    <w:bookmarkEnd w:id="216"/>
    <w:bookmarkStart w:id="218"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217">
        <w:r>
          <w:rPr>
            <w:rStyle w:val="Hyperlink"/>
          </w:rPr>
          <w:t xml:space="preserve">https://doi.org/10.1111/add.13818</w:t>
        </w:r>
      </w:hyperlink>
      <w:r>
        <w:t xml:space="preserve">.</w:t>
      </w:r>
    </w:p>
    <w:bookmarkEnd w:id="218"/>
    <w:bookmarkStart w:id="220"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219">
        <w:r>
          <w:rPr>
            <w:rStyle w:val="Hyperlink"/>
          </w:rPr>
          <w:t xml:space="preserve">https://doi.org/10.1046/j.1525-1497.2001.016009606.x</w:t>
        </w:r>
      </w:hyperlink>
      <w:r>
        <w:t xml:space="preserve">.</w:t>
      </w:r>
    </w:p>
    <w:bookmarkEnd w:id="220"/>
    <w:bookmarkStart w:id="222"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221">
        <w:r>
          <w:rPr>
            <w:rStyle w:val="Hyperlink"/>
          </w:rPr>
          <w:t xml:space="preserve">https://doi.org/10.1186/1758-2946-6-10</w:t>
        </w:r>
      </w:hyperlink>
      <w:r>
        <w:t xml:space="preserve">.</w:t>
      </w:r>
    </w:p>
    <w:bookmarkEnd w:id="222"/>
    <w:bookmarkStart w:id="223"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223"/>
    <w:bookmarkStart w:id="225"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224">
        <w:r>
          <w:rPr>
            <w:rStyle w:val="Hyperlink"/>
          </w:rPr>
          <w:t xml:space="preserve">https://doi.org/10.1007/978-1-4614-6849-3</w:t>
        </w:r>
      </w:hyperlink>
      <w:r>
        <w:t xml:space="preserve">.</w:t>
      </w:r>
    </w:p>
    <w:bookmarkEnd w:id="225"/>
    <w:bookmarkStart w:id="226"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226"/>
    <w:bookmarkStart w:id="228"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27">
        <w:r>
          <w:rPr>
            <w:rStyle w:val="Hyperlink"/>
          </w:rPr>
          <w:t xml:space="preserve">https://doi.org/10.3390/ijerph18052584</w:t>
        </w:r>
      </w:hyperlink>
      <w:r>
        <w:t xml:space="preserve">.</w:t>
      </w:r>
    </w:p>
    <w:bookmarkEnd w:id="228"/>
    <w:bookmarkStart w:id="230"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29">
        <w:r>
          <w:rPr>
            <w:rStyle w:val="Hyperlink"/>
          </w:rPr>
          <w:t xml:space="preserve">https://doi.org/10.1002/acp.1602</w:t>
        </w:r>
      </w:hyperlink>
      <w:r>
        <w:t xml:space="preserve">.</w:t>
      </w:r>
    </w:p>
    <w:bookmarkEnd w:id="230"/>
    <w:bookmarkStart w:id="232"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31">
        <w:r>
          <w:rPr>
            <w:rStyle w:val="Hyperlink"/>
          </w:rPr>
          <w:t xml:space="preserve">https://doi.org/10.1016/S2213-2600(14)70294-2</w:t>
        </w:r>
      </w:hyperlink>
      <w:r>
        <w:t xml:space="preserve">.</w:t>
      </w:r>
    </w:p>
    <w:bookmarkEnd w:id="232"/>
    <w:bookmarkStart w:id="234"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33">
        <w:r>
          <w:rPr>
            <w:rStyle w:val="Hyperlink"/>
          </w:rPr>
          <w:t xml:space="preserve">https://doi.org/10.1080/20008198.2020.1729633</w:t>
        </w:r>
      </w:hyperlink>
      <w:r>
        <w:t xml:space="preserve">.</w:t>
      </w:r>
    </w:p>
    <w:bookmarkEnd w:id="234"/>
    <w:bookmarkStart w:id="236"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235">
        <w:r>
          <w:rPr>
            <w:rStyle w:val="Hyperlink"/>
          </w:rPr>
          <w:t xml:space="preserve">https://doi.org/10.2165/00023210-200418040-00005</w:t>
        </w:r>
      </w:hyperlink>
      <w:r>
        <w:t xml:space="preserve">.</w:t>
      </w:r>
    </w:p>
    <w:bookmarkEnd w:id="236"/>
    <w:bookmarkStart w:id="238"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237">
        <w:r>
          <w:rPr>
            <w:rStyle w:val="Hyperlink"/>
          </w:rPr>
          <w:t xml:space="preserve">https://doi.org/10.1002/14651858.CD013308</w:t>
        </w:r>
      </w:hyperlink>
      <w:r>
        <w:t xml:space="preserve">.</w:t>
      </w:r>
    </w:p>
    <w:bookmarkEnd w:id="238"/>
    <w:bookmarkStart w:id="23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239"/>
    <w:bookmarkStart w:id="241"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240">
        <w:r>
          <w:rPr>
            <w:rStyle w:val="Hyperlink"/>
          </w:rPr>
          <w:t xml:space="preserve">https://doi.org/10.1139/gen-2020-0131</w:t>
        </w:r>
      </w:hyperlink>
      <w:r>
        <w:t xml:space="preserve">.</w:t>
      </w:r>
    </w:p>
    <w:bookmarkEnd w:id="241"/>
    <w:bookmarkStart w:id="243"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242">
        <w:r>
          <w:rPr>
            <w:rStyle w:val="Hyperlink"/>
          </w:rPr>
          <w:t xml:space="preserve">https://doi.org/10.2466/03.11.PMS.112.2.331-348</w:t>
        </w:r>
      </w:hyperlink>
      <w:r>
        <w:t xml:space="preserve">.</w:t>
      </w:r>
    </w:p>
    <w:bookmarkEnd w:id="243"/>
    <w:bookmarkStart w:id="245"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244">
        <w:r>
          <w:rPr>
            <w:rStyle w:val="Hyperlink"/>
          </w:rPr>
          <w:t xml:space="preserve">https://doi.org/10.1371/journal.pone.0295970</w:t>
        </w:r>
      </w:hyperlink>
      <w:r>
        <w:t xml:space="preserve">.</w:t>
      </w:r>
    </w:p>
    <w:bookmarkEnd w:id="245"/>
    <w:bookmarkStart w:id="247"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246">
        <w:r>
          <w:rPr>
            <w:rStyle w:val="Hyperlink"/>
          </w:rPr>
          <w:t xml:space="preserve">https://doi.org/10.1146/annurev-publhealth-040617-014208</w:t>
        </w:r>
      </w:hyperlink>
      <w:r>
        <w:t xml:space="preserve">.</w:t>
      </w:r>
    </w:p>
    <w:bookmarkEnd w:id="247"/>
    <w:bookmarkStart w:id="249"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248">
        <w:r>
          <w:rPr>
            <w:rStyle w:val="Hyperlink"/>
          </w:rPr>
          <w:t xml:space="preserve">https://doi.org/10.1017/cts.2020.42</w:t>
        </w:r>
      </w:hyperlink>
      <w:r>
        <w:t xml:space="preserve">.</w:t>
      </w:r>
    </w:p>
    <w:bookmarkEnd w:id="249"/>
    <w:bookmarkStart w:id="250"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250"/>
    <w:bookmarkStart w:id="252" w:name="Xca20c04262f42bd319e9e1cf7e0699591bb2b86"/>
    <w:p>
      <w:pPr>
        <w:pStyle w:val="Bibliography"/>
      </w:pPr>
      <w:r>
        <w:t xml:space="preserve">National Center for Chronic Disease Prevention and Health Promotion (US) Office on Smoking and Health. 2014.</w:t>
      </w:r>
      <w:r>
        <w:t xml:space="preserve"> </w:t>
      </w:r>
      <w:hyperlink r:id="rId251">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252"/>
    <w:bookmarkStart w:id="254"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253">
        <w:r>
          <w:rPr>
            <w:rStyle w:val="Hyperlink"/>
          </w:rPr>
          <w:t xml:space="preserve">https://doi.org/10.7326/0003-4819-131-7-199910050-00002</w:t>
        </w:r>
      </w:hyperlink>
      <w:r>
        <w:t xml:space="preserve">.</w:t>
      </w:r>
    </w:p>
    <w:bookmarkEnd w:id="254"/>
    <w:bookmarkStart w:id="255"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255"/>
    <w:bookmarkStart w:id="257" w:name="X8bb79cdd23e0a8d99e4f9b0c203aaa22c56a953"/>
    <w:p>
      <w:pPr>
        <w:pStyle w:val="Bibliography"/>
      </w:pPr>
      <w:r>
        <w:t xml:space="preserve">Office of the Surgeon General (US), Center for Mental Health Services (US), and National Institute of Mental Health (US). 2001.</w:t>
      </w:r>
      <w:r>
        <w:t xml:space="preserve"> </w:t>
      </w:r>
      <w:hyperlink r:id="rId256">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257"/>
    <w:bookmarkStart w:id="259"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258">
        <w:r>
          <w:rPr>
            <w:rStyle w:val="Hyperlink"/>
          </w:rPr>
          <w:t xml:space="preserve">https://doi.org/10.1111/add.14023</w:t>
        </w:r>
      </w:hyperlink>
      <w:r>
        <w:t xml:space="preserve">.</w:t>
      </w:r>
    </w:p>
    <w:bookmarkEnd w:id="259"/>
    <w:bookmarkStart w:id="261"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260">
        <w:r>
          <w:rPr>
            <w:rStyle w:val="Hyperlink"/>
          </w:rPr>
          <w:t xml:space="preserve">https://doi.org/10.3389/fnhum.2014.00425</w:t>
        </w:r>
      </w:hyperlink>
      <w:r>
        <w:t xml:space="preserve">.</w:t>
      </w:r>
    </w:p>
    <w:bookmarkEnd w:id="261"/>
    <w:bookmarkStart w:id="263"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262">
        <w:r>
          <w:rPr>
            <w:rStyle w:val="Hyperlink"/>
          </w:rPr>
          <w:t xml:space="preserve">https://doi.org/10.1093/ntr/ntt025</w:t>
        </w:r>
      </w:hyperlink>
      <w:r>
        <w:t xml:space="preserve">.</w:t>
      </w:r>
    </w:p>
    <w:bookmarkEnd w:id="263"/>
    <w:bookmarkStart w:id="265"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264">
        <w:r>
          <w:rPr>
            <w:rStyle w:val="Hyperlink"/>
          </w:rPr>
          <w:t xml:space="preserve">https://doi.org/10.1016/j.drugalcdep.2016.11.027</w:t>
        </w:r>
      </w:hyperlink>
      <w:r>
        <w:t xml:space="preserve">.</w:t>
      </w:r>
    </w:p>
    <w:bookmarkEnd w:id="265"/>
    <w:bookmarkStart w:id="267"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266">
        <w:r>
          <w:rPr>
            <w:rStyle w:val="Hyperlink"/>
          </w:rPr>
          <w:t xml:space="preserve">https://doi.org/10.1111/add.13162</w:t>
        </w:r>
      </w:hyperlink>
      <w:r>
        <w:t xml:space="preserve">.</w:t>
      </w:r>
    </w:p>
    <w:bookmarkEnd w:id="267"/>
    <w:bookmarkStart w:id="269"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268">
        <w:r>
          <w:rPr>
            <w:rStyle w:val="Hyperlink"/>
          </w:rPr>
          <w:t xml:space="preserve">https://doi.org/10.1016/j.drugalcdep.2016.11.025</w:t>
        </w:r>
      </w:hyperlink>
      <w:r>
        <w:t xml:space="preserve">.</w:t>
      </w:r>
    </w:p>
    <w:bookmarkEnd w:id="269"/>
    <w:bookmarkStart w:id="271"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270">
        <w:r>
          <w:rPr>
            <w:rStyle w:val="Hyperlink"/>
          </w:rPr>
          <w:t xml:space="preserve">https://doi.org/10.1111/j.1530-0277.1993.tb05219.x</w:t>
        </w:r>
      </w:hyperlink>
      <w:r>
        <w:t xml:space="preserve">.</w:t>
      </w:r>
    </w:p>
    <w:bookmarkEnd w:id="271"/>
    <w:bookmarkStart w:id="273"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272">
        <w:r>
          <w:rPr>
            <w:rStyle w:val="Hyperlink"/>
          </w:rPr>
          <w:t xml:space="preserve">https://doi.org/10.15288/jsa.1998.59.631</w:t>
        </w:r>
      </w:hyperlink>
      <w:r>
        <w:t xml:space="preserve">.</w:t>
      </w:r>
    </w:p>
    <w:bookmarkEnd w:id="273"/>
    <w:bookmarkStart w:id="275"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74">
        <w:r>
          <w:rPr>
            <w:rStyle w:val="Hyperlink"/>
          </w:rPr>
          <w:t xml:space="preserve">https://doi.org/10.1001/jama.2022.0395</w:t>
        </w:r>
      </w:hyperlink>
      <w:r>
        <w:t xml:space="preserve">.</w:t>
      </w:r>
    </w:p>
    <w:bookmarkEnd w:id="275"/>
    <w:bookmarkStart w:id="277"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76">
        <w:r>
          <w:rPr>
            <w:rStyle w:val="Hyperlink"/>
          </w:rPr>
          <w:t xml:space="preserve">https://doi.org/10.1016/S1470-2045(11)70393-X</w:t>
        </w:r>
      </w:hyperlink>
      <w:r>
        <w:t xml:space="preserve">.</w:t>
      </w:r>
    </w:p>
    <w:bookmarkEnd w:id="277"/>
    <w:bookmarkStart w:id="279"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78">
        <w:r>
          <w:rPr>
            <w:rStyle w:val="Hyperlink"/>
          </w:rPr>
          <w:t xml:space="preserve">https://doi.org/10.1186/1744-859X-12-42</w:t>
        </w:r>
      </w:hyperlink>
      <w:r>
        <w:t xml:space="preserve">.</w:t>
      </w:r>
    </w:p>
    <w:bookmarkEnd w:id="279"/>
    <w:bookmarkStart w:id="280"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80"/>
    <w:bookmarkStart w:id="282"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81">
        <w:r>
          <w:rPr>
            <w:rStyle w:val="Hyperlink"/>
          </w:rPr>
          <w:t xml:space="preserve">https://doi.org/10.1146/annurev-clinpsy-050212-185602</w:t>
        </w:r>
      </w:hyperlink>
      <w:r>
        <w:t xml:space="preserve">.</w:t>
      </w:r>
    </w:p>
    <w:bookmarkEnd w:id="282"/>
    <w:bookmarkStart w:id="284"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83">
        <w:r>
          <w:rPr>
            <w:rStyle w:val="Hyperlink"/>
          </w:rPr>
          <w:t xml:space="preserve">https://doi.org/10.1016/j.pbb.2008.10.016</w:t>
        </w:r>
      </w:hyperlink>
      <w:r>
        <w:t xml:space="preserve">.</w:t>
      </w:r>
    </w:p>
    <w:bookmarkEnd w:id="284"/>
    <w:bookmarkStart w:id="286"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85">
        <w:r>
          <w:rPr>
            <w:rStyle w:val="Hyperlink"/>
          </w:rPr>
          <w:t xml:space="preserve">https://doi.org/10.1111/add.14450</w:t>
        </w:r>
      </w:hyperlink>
      <w:r>
        <w:t xml:space="preserve">.</w:t>
      </w:r>
    </w:p>
    <w:bookmarkEnd w:id="286"/>
    <w:bookmarkStart w:id="288"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87">
        <w:r>
          <w:rPr>
            <w:rStyle w:val="Hyperlink"/>
          </w:rPr>
          <w:t xml:space="preserve">https://doi.org/10.1158/1940-6207.CAPR-19-0259</w:t>
        </w:r>
      </w:hyperlink>
      <w:r>
        <w:t xml:space="preserve">.</w:t>
      </w:r>
    </w:p>
    <w:bookmarkEnd w:id="288"/>
    <w:bookmarkStart w:id="290"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289">
        <w:r>
          <w:rPr>
            <w:rStyle w:val="Hyperlink"/>
          </w:rPr>
          <w:t xml:space="preserve">https://doi.org/10.1007/s11031-005-7955-3</w:t>
        </w:r>
      </w:hyperlink>
      <w:r>
        <w:t xml:space="preserve">.</w:t>
      </w:r>
    </w:p>
    <w:bookmarkEnd w:id="290"/>
    <w:bookmarkStart w:id="292"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291">
        <w:r>
          <w:rPr>
            <w:rStyle w:val="Hyperlink"/>
          </w:rPr>
          <w:t xml:space="preserve">https://doi.org/10.1016/0022-3999(94)00125-O</w:t>
        </w:r>
      </w:hyperlink>
      <w:r>
        <w:t xml:space="preserve">.</w:t>
      </w:r>
    </w:p>
    <w:bookmarkEnd w:id="292"/>
    <w:bookmarkStart w:id="294"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293">
        <w:r>
          <w:rPr>
            <w:rStyle w:val="Hyperlink"/>
          </w:rPr>
          <w:t xml:space="preserve">https://doi.org/10.1037/pas0000978</w:t>
        </w:r>
      </w:hyperlink>
      <w:r>
        <w:t xml:space="preserve">.</w:t>
      </w:r>
    </w:p>
    <w:bookmarkEnd w:id="294"/>
    <w:bookmarkStart w:id="296"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295">
        <w:r>
          <w:rPr>
            <w:rStyle w:val="Hyperlink"/>
          </w:rPr>
          <w:t xml:space="preserve">https://doi.org/10.1093/ntr/ntq032</w:t>
        </w:r>
      </w:hyperlink>
      <w:r>
        <w:t xml:space="preserve">.</w:t>
      </w:r>
    </w:p>
    <w:bookmarkEnd w:id="296"/>
    <w:bookmarkStart w:id="298"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297">
        <w:r>
          <w:rPr>
            <w:rStyle w:val="Hyperlink"/>
          </w:rPr>
          <w:t xml:space="preserve">https://doi.org/10.1192/bjp.167.1.99</w:t>
        </w:r>
      </w:hyperlink>
      <w:r>
        <w:t xml:space="preserve">.</w:t>
      </w:r>
    </w:p>
    <w:bookmarkEnd w:id="298"/>
    <w:bookmarkStart w:id="300"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99">
        <w:r>
          <w:rPr>
            <w:rStyle w:val="Hyperlink"/>
          </w:rPr>
          <w:t xml:space="preserve">https://doi.org/10.1017/jsc.2020.11</w:t>
        </w:r>
      </w:hyperlink>
      <w:r>
        <w:t xml:space="preserve">.</w:t>
      </w:r>
    </w:p>
    <w:bookmarkEnd w:id="300"/>
    <w:bookmarkStart w:id="301"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301"/>
    <w:bookmarkStart w:id="303" w:name="Xb4363def9a086869984bb1996514c38c4a5108e"/>
    <w:p>
      <w:pPr>
        <w:pStyle w:val="Bibliography"/>
      </w:pPr>
      <w:r>
        <w:t xml:space="preserve">Substance Abuse and Mental Health Services Administration (US), and Office of the Surgeon General (US). 2016.</w:t>
      </w:r>
      <w:r>
        <w:t xml:space="preserve"> </w:t>
      </w:r>
      <w:hyperlink r:id="rId302">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303"/>
    <w:bookmarkStart w:id="305"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304">
        <w:r>
          <w:rPr>
            <w:rStyle w:val="Hyperlink"/>
          </w:rPr>
          <w:t xml:space="preserve">https://doi.org/10.1037/1040-3590.19.2.176</w:t>
        </w:r>
      </w:hyperlink>
      <w:r>
        <w:t xml:space="preserve">.</w:t>
      </w:r>
    </w:p>
    <w:bookmarkEnd w:id="305"/>
    <w:bookmarkStart w:id="306"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306"/>
    <w:bookmarkStart w:id="308"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307">
        <w:r>
          <w:rPr>
            <w:rStyle w:val="Hyperlink"/>
          </w:rPr>
          <w:t xml:space="preserve">https://doi.org/10.1111/j.1360-0443.1993.tb02060.x</w:t>
        </w:r>
      </w:hyperlink>
      <w:r>
        <w:t xml:space="preserve">.</w:t>
      </w:r>
    </w:p>
    <w:bookmarkEnd w:id="308"/>
    <w:bookmarkStart w:id="310"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309">
        <w:r>
          <w:rPr>
            <w:rStyle w:val="Hyperlink"/>
          </w:rPr>
          <w:t xml:space="preserve">https://doi.org/10.15252/embr.201642951</w:t>
        </w:r>
      </w:hyperlink>
      <w:r>
        <w:t xml:space="preserve">.</w:t>
      </w:r>
    </w:p>
    <w:bookmarkEnd w:id="310"/>
    <w:bookmarkStart w:id="312"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311">
        <w:r>
          <w:rPr>
            <w:rStyle w:val="Hyperlink"/>
          </w:rPr>
          <w:t xml:space="preserve">https://doi.org/10.1007/s11121-009-0141-1</w:t>
        </w:r>
      </w:hyperlink>
      <w:r>
        <w:t xml:space="preserve">.</w:t>
      </w:r>
    </w:p>
    <w:bookmarkEnd w:id="312"/>
    <w:bookmarkStart w:id="314"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313">
        <w:r>
          <w:rPr>
            <w:rStyle w:val="Hyperlink"/>
          </w:rPr>
          <w:t xml:space="preserve">https://doi.org/10.1017/S0033291718001708</w:t>
        </w:r>
      </w:hyperlink>
      <w:r>
        <w:t xml:space="preserve">.</w:t>
      </w:r>
    </w:p>
    <w:bookmarkEnd w:id="314"/>
    <w:bookmarkStart w:id="316"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315">
        <w:r>
          <w:rPr>
            <w:rStyle w:val="Hyperlink"/>
          </w:rPr>
          <w:t xml:space="preserve">https://doi.org/10.1177/1745691618805436</w:t>
        </w:r>
      </w:hyperlink>
      <w:r>
        <w:t xml:space="preserve">.</w:t>
      </w:r>
    </w:p>
    <w:bookmarkEnd w:id="316"/>
    <w:bookmarkStart w:id="318"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317">
        <w:r>
          <w:rPr>
            <w:rStyle w:val="Hyperlink"/>
          </w:rPr>
          <w:t xml:space="preserve">https://doi.org/10.1016/S0140-6736(13)61611-6</w:t>
        </w:r>
      </w:hyperlink>
      <w:r>
        <w:t xml:space="preserve">.</w:t>
      </w:r>
    </w:p>
    <w:bookmarkEnd w:id="318"/>
    <w:bookmarkStart w:id="320"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319">
        <w:r>
          <w:rPr>
            <w:rStyle w:val="Hyperlink"/>
          </w:rPr>
          <w:t xml:space="preserve">https://doi.org/10.1111/jcpp.12295</w:t>
        </w:r>
      </w:hyperlink>
      <w:r>
        <w:t xml:space="preserve">.</w:t>
      </w:r>
    </w:p>
    <w:bookmarkEnd w:id="320"/>
    <w:bookmarkStart w:id="322"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321">
        <w:r>
          <w:rPr>
            <w:rStyle w:val="Hyperlink"/>
          </w:rPr>
          <w:t xml:space="preserve">https://doi.org/10.31234/osf.io/cgsf7</w:t>
        </w:r>
      </w:hyperlink>
      <w:r>
        <w:t xml:space="preserve">.</w:t>
      </w:r>
    </w:p>
    <w:bookmarkEnd w:id="322"/>
    <w:bookmarkStart w:id="324"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323">
        <w:r>
          <w:rPr>
            <w:rStyle w:val="Hyperlink"/>
          </w:rPr>
          <w:t xml:space="preserve">https://doi.org/10.1093/jpepsy/jst062</w:t>
        </w:r>
      </w:hyperlink>
      <w:r>
        <w:t xml:space="preserve">.</w:t>
      </w:r>
    </w:p>
    <w:bookmarkEnd w:id="324"/>
    <w:bookmarkStart w:id="326"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325">
        <w:r>
          <w:rPr>
            <w:rStyle w:val="Hyperlink"/>
          </w:rPr>
          <w:t xml:space="preserve">https://doi.org/10.1080/00273171.2013.763012</w:t>
        </w:r>
      </w:hyperlink>
      <w:r>
        <w:t xml:space="preserve">.</w:t>
      </w:r>
    </w:p>
    <w:bookmarkEnd w:id="326"/>
    <w:bookmarkEnd w:id="327"/>
    <w:bookmarkEnd w:id="328"/>
    <w:bookmarkEnd w:id="3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FootnoteText"/>
      </w:pPr>
      <w:r>
        <w:rPr>
          <w:rStyle w:val="FootnoteReference"/>
        </w:rPr>
        <w:footnoteRef/>
      </w:r>
      <w:r>
        <w:t xml:space="preserve"> </w:t>
      </w:r>
      <w:r>
        <w:t xml:space="preserve">We followed our preregistered analysis code to fit these simple effect models; however, we preregistered that we would conduct them only if the interaction effect was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67" Target="media/rId67.png" /><Relationship Type="http://schemas.openxmlformats.org/officeDocument/2006/relationships/image" Id="rId77" Target="media/rId77.png" /><Relationship Type="http://schemas.openxmlformats.org/officeDocument/2006/relationships/hyperlink" Id="rId114" Target="https://doi.org/10.1001/jama.2015.19284" TargetMode="External" /><Relationship Type="http://schemas.openxmlformats.org/officeDocument/2006/relationships/hyperlink" Id="rId274" Target="https://doi.org/10.1001/jama.2022.0395" TargetMode="External" /><Relationship Type="http://schemas.openxmlformats.org/officeDocument/2006/relationships/hyperlink" Id="rId213" Target="https://doi.org/10.1001/jamapsychiatry.2021.2500" TargetMode="External" /><Relationship Type="http://schemas.openxmlformats.org/officeDocument/2006/relationships/hyperlink" Id="rId129" Target="https://doi.org/10.1002/14651858.CD006103.pub7" TargetMode="External" /><Relationship Type="http://schemas.openxmlformats.org/officeDocument/2006/relationships/hyperlink" Id="rId131" Target="https://doi.org/10.1002/14651858.CD009329.pub2" TargetMode="External" /><Relationship Type="http://schemas.openxmlformats.org/officeDocument/2006/relationships/hyperlink" Id="rId237" Target="https://doi.org/10.1002/14651858.CD013308" TargetMode="External" /><Relationship Type="http://schemas.openxmlformats.org/officeDocument/2006/relationships/hyperlink" Id="rId229" Target="https://doi.org/10.1002/acp.1602" TargetMode="External" /><Relationship Type="http://schemas.openxmlformats.org/officeDocument/2006/relationships/hyperlink" Id="rId138" Target="https://doi.org/10.1002/cpt.1971" TargetMode="External" /><Relationship Type="http://schemas.openxmlformats.org/officeDocument/2006/relationships/hyperlink" Id="rId224" Target="https://doi.org/10.1007/978-1-4614-6849-3" TargetMode="External" /><Relationship Type="http://schemas.openxmlformats.org/officeDocument/2006/relationships/hyperlink" Id="rId196" Target="https://doi.org/10.1007/978-1-4614-7138-7" TargetMode="External" /><Relationship Type="http://schemas.openxmlformats.org/officeDocument/2006/relationships/hyperlink" Id="rId148" Target="https://doi.org/10.1007/978-3-319-72206-1" TargetMode="External" /><Relationship Type="http://schemas.openxmlformats.org/officeDocument/2006/relationships/hyperlink" Id="rId122" Target="https://doi.org/10.1007/s10488-016-0718-5" TargetMode="External" /><Relationship Type="http://schemas.openxmlformats.org/officeDocument/2006/relationships/hyperlink" Id="rId120" Target="https://doi.org/10.1007/s10488-020-01065-8" TargetMode="External" /><Relationship Type="http://schemas.openxmlformats.org/officeDocument/2006/relationships/hyperlink" Id="rId289" Target="https://doi.org/10.1007/s11031-005-7955-3" TargetMode="External" /><Relationship Type="http://schemas.openxmlformats.org/officeDocument/2006/relationships/hyperlink" Id="rId311" Target="https://doi.org/10.1007/s11121-009-0141-1" TargetMode="External" /><Relationship Type="http://schemas.openxmlformats.org/officeDocument/2006/relationships/hyperlink" Id="rId144" Target="https://doi.org/10.1007/s11336-013-9328-2" TargetMode="External" /><Relationship Type="http://schemas.openxmlformats.org/officeDocument/2006/relationships/hyperlink" Id="rId291" Target="https://doi.org/10.1016/0022-3999(94)00125-O" TargetMode="External" /><Relationship Type="http://schemas.openxmlformats.org/officeDocument/2006/relationships/hyperlink" Id="rId317" Target="https://doi.org/10.1016/S0140-6736(13)61611-6" TargetMode="External" /><Relationship Type="http://schemas.openxmlformats.org/officeDocument/2006/relationships/hyperlink" Id="rId276" Target="https://doi.org/10.1016/S1470-2045(11)70393-X" TargetMode="External" /><Relationship Type="http://schemas.openxmlformats.org/officeDocument/2006/relationships/hyperlink" Id="rId231" Target="https://doi.org/10.1016/S2213-2600(14)70294-2" TargetMode="External" /><Relationship Type="http://schemas.openxmlformats.org/officeDocument/2006/relationships/hyperlink" Id="rId106" Target="https://doi.org/10.1016/S2468-2667(19)30112-4" TargetMode="External" /><Relationship Type="http://schemas.openxmlformats.org/officeDocument/2006/relationships/hyperlink" Id="rId158" Target="https://doi.org/10.1016/j.addbeh.2003.08.014" TargetMode="External" /><Relationship Type="http://schemas.openxmlformats.org/officeDocument/2006/relationships/hyperlink" Id="rId207" Target="https://doi.org/10.1016/j.addbeh.2015.07.019" TargetMode="External" /><Relationship Type="http://schemas.openxmlformats.org/officeDocument/2006/relationships/hyperlink" Id="rId156" Target="https://doi.org/10.1016/j.addbeh.2016.12.011" TargetMode="External" /><Relationship Type="http://schemas.openxmlformats.org/officeDocument/2006/relationships/hyperlink" Id="rId118" Target="https://doi.org/10.1016/j.addicn.2023.100068" TargetMode="External" /><Relationship Type="http://schemas.openxmlformats.org/officeDocument/2006/relationships/hyperlink" Id="rId185" Target="https://doi.org/10.1016/j.amepre.2017.01.038" TargetMode="External" /><Relationship Type="http://schemas.openxmlformats.org/officeDocument/2006/relationships/hyperlink" Id="rId171" Target="https://doi.org/10.1016/j.biopsych.2020.02.015" TargetMode="External" /><Relationship Type="http://schemas.openxmlformats.org/officeDocument/2006/relationships/hyperlink" Id="rId160" Target="https://doi.org/10.1016/j.brat.2019.103506" TargetMode="External" /><Relationship Type="http://schemas.openxmlformats.org/officeDocument/2006/relationships/hyperlink" Id="rId268" Target="https://doi.org/10.1016/j.drugalcdep.2016.11.025" TargetMode="External" /><Relationship Type="http://schemas.openxmlformats.org/officeDocument/2006/relationships/hyperlink" Id="rId264" Target="https://doi.org/10.1016/j.drugalcdep.2016.11.027" TargetMode="External" /><Relationship Type="http://schemas.openxmlformats.org/officeDocument/2006/relationships/hyperlink" Id="rId104" Target="https://doi.org/10.1016/j.jval.2022.04.206" TargetMode="External" /><Relationship Type="http://schemas.openxmlformats.org/officeDocument/2006/relationships/hyperlink" Id="rId140" Target="https://doi.org/10.1016/j.neulet.2016.05.033" TargetMode="External" /><Relationship Type="http://schemas.openxmlformats.org/officeDocument/2006/relationships/hyperlink" Id="rId283" Target="https://doi.org/10.1016/j.pbb.2008.10.016" TargetMode="External" /><Relationship Type="http://schemas.openxmlformats.org/officeDocument/2006/relationships/hyperlink" Id="rId313" Target="https://doi.org/10.1017/S0033291718001708" TargetMode="External" /><Relationship Type="http://schemas.openxmlformats.org/officeDocument/2006/relationships/hyperlink" Id="rId248" Target="https://doi.org/10.1017/cts.2020.42" TargetMode="External" /><Relationship Type="http://schemas.openxmlformats.org/officeDocument/2006/relationships/hyperlink" Id="rId299" Target="https://doi.org/10.1017/jsc.2020.11" TargetMode="External" /><Relationship Type="http://schemas.openxmlformats.org/officeDocument/2006/relationships/hyperlink" Id="rId200" Target="https://doi.org/10.1023/A:1008987426876" TargetMode="External" /><Relationship Type="http://schemas.openxmlformats.org/officeDocument/2006/relationships/hyperlink" Id="rId304" Target="https://doi.org/10.1037/1040-3590.19.2.176" TargetMode="External" /><Relationship Type="http://schemas.openxmlformats.org/officeDocument/2006/relationships/hyperlink" Id="rId215" Target="https://doi.org/10.1037/a0028445" TargetMode="External" /><Relationship Type="http://schemas.openxmlformats.org/officeDocument/2006/relationships/hyperlink" Id="rId293" Target="https://doi.org/10.1037/pas0000978" TargetMode="External" /><Relationship Type="http://schemas.openxmlformats.org/officeDocument/2006/relationships/hyperlink" Id="rId177" Target="https://doi.org/10.1037/pha0000141" TargetMode="External" /><Relationship Type="http://schemas.openxmlformats.org/officeDocument/2006/relationships/hyperlink" Id="rId179" Target="https://doi.org/10.1038/clpt.2014.124" TargetMode="External" /><Relationship Type="http://schemas.openxmlformats.org/officeDocument/2006/relationships/hyperlink" Id="rId173" Target="https://doi.org/10.1038/ng.3404" TargetMode="External" /><Relationship Type="http://schemas.openxmlformats.org/officeDocument/2006/relationships/hyperlink" Id="rId219" Target="https://doi.org/10.1046/j.1525-1497.2001.016009606.x" TargetMode="External" /><Relationship Type="http://schemas.openxmlformats.org/officeDocument/2006/relationships/hyperlink" Id="rId110" Target="https://doi.org/10.1056/NEJMp1301935" TargetMode="External" /><Relationship Type="http://schemas.openxmlformats.org/officeDocument/2006/relationships/hyperlink" Id="rId198" Target="https://doi.org/10.1056/NEJMsa1211128" TargetMode="External" /><Relationship Type="http://schemas.openxmlformats.org/officeDocument/2006/relationships/hyperlink" Id="rId325" Target="https://doi.org/10.1080/00273171.2013.763012" TargetMode="External" /><Relationship Type="http://schemas.openxmlformats.org/officeDocument/2006/relationships/hyperlink" Id="rId182" Target="https://doi.org/10.1080/10826084.2019.1691593" TargetMode="External" /><Relationship Type="http://schemas.openxmlformats.org/officeDocument/2006/relationships/hyperlink" Id="rId202" Target="https://doi.org/10.1080/17460441.2018.1458090" TargetMode="External" /><Relationship Type="http://schemas.openxmlformats.org/officeDocument/2006/relationships/hyperlink" Id="rId233" Target="https://doi.org/10.1080/20008198.2020.1729633" TargetMode="External" /><Relationship Type="http://schemas.openxmlformats.org/officeDocument/2006/relationships/hyperlink" Id="rId323" Target="https://doi.org/10.1093/jpepsy/jst062" TargetMode="External" /><Relationship Type="http://schemas.openxmlformats.org/officeDocument/2006/relationships/hyperlink" Id="rId295" Target="https://doi.org/10.1093/ntr/ntq032" TargetMode="External" /><Relationship Type="http://schemas.openxmlformats.org/officeDocument/2006/relationships/hyperlink" Id="rId262" Target="https://doi.org/10.1093/ntr/ntt025" TargetMode="External" /><Relationship Type="http://schemas.openxmlformats.org/officeDocument/2006/relationships/hyperlink" Id="rId142" Target="https://doi.org/10.1093/ntr/ntv125" TargetMode="External" /><Relationship Type="http://schemas.openxmlformats.org/officeDocument/2006/relationships/hyperlink" Id="rId152" Target="https://doi.org/10.1093/ntr/nty259" TargetMode="External" /><Relationship Type="http://schemas.openxmlformats.org/officeDocument/2006/relationships/hyperlink" Id="rId266" Target="https://doi.org/10.1111/add.13162" TargetMode="External" /><Relationship Type="http://schemas.openxmlformats.org/officeDocument/2006/relationships/hyperlink" Id="rId217" Target="https://doi.org/10.1111/add.13818" TargetMode="External" /><Relationship Type="http://schemas.openxmlformats.org/officeDocument/2006/relationships/hyperlink" Id="rId258" Target="https://doi.org/10.1111/add.14023" TargetMode="External" /><Relationship Type="http://schemas.openxmlformats.org/officeDocument/2006/relationships/hyperlink" Id="rId285" Target="https://doi.org/10.1111/add.14450" TargetMode="External" /><Relationship Type="http://schemas.openxmlformats.org/officeDocument/2006/relationships/hyperlink" Id="rId307" Target="https://doi.org/10.1111/j.1360-0443.1993.tb02060.x" TargetMode="External" /><Relationship Type="http://schemas.openxmlformats.org/officeDocument/2006/relationships/hyperlink" Id="rId211" Target="https://doi.org/10.1111/j.1465-3362.2012.00465.x" TargetMode="External" /><Relationship Type="http://schemas.openxmlformats.org/officeDocument/2006/relationships/hyperlink" Id="rId205" Target="https://doi.org/10.1111/j.1475-6773.2011.01314.x" TargetMode="External" /><Relationship Type="http://schemas.openxmlformats.org/officeDocument/2006/relationships/hyperlink" Id="rId270" Target="https://doi.org/10.1111/j.1530-0277.1993.tb05219.x" TargetMode="External" /><Relationship Type="http://schemas.openxmlformats.org/officeDocument/2006/relationships/hyperlink" Id="rId319" Target="https://doi.org/10.1111/jcpp.12295" TargetMode="External" /><Relationship Type="http://schemas.openxmlformats.org/officeDocument/2006/relationships/hyperlink" Id="rId136" Target="https://doi.org/10.1136/bmjopen-2016-011045" TargetMode="External" /><Relationship Type="http://schemas.openxmlformats.org/officeDocument/2006/relationships/hyperlink" Id="rId240" Target="https://doi.org/10.1139/gen-2020-0131" TargetMode="External" /><Relationship Type="http://schemas.openxmlformats.org/officeDocument/2006/relationships/hyperlink" Id="rId165" Target="https://doi.org/10.1146/annurev-clinpsy-032816-045037" TargetMode="External" /><Relationship Type="http://schemas.openxmlformats.org/officeDocument/2006/relationships/hyperlink" Id="rId281" Target="https://doi.org/10.1146/annurev-clinpsy-050212-185602" TargetMode="External" /><Relationship Type="http://schemas.openxmlformats.org/officeDocument/2006/relationships/hyperlink" Id="rId146" Target="https://doi.org/10.1146/annurev-clinpsy-050817-084746" TargetMode="External" /><Relationship Type="http://schemas.openxmlformats.org/officeDocument/2006/relationships/hyperlink" Id="rId125" Target="https://doi.org/10.1146/annurev-clinpsy-050817-084847" TargetMode="External" /><Relationship Type="http://schemas.openxmlformats.org/officeDocument/2006/relationships/hyperlink" Id="rId112" Target="https://doi.org/10.1146/annurev-clinpsy-081219-090343" TargetMode="External" /><Relationship Type="http://schemas.openxmlformats.org/officeDocument/2006/relationships/hyperlink" Id="rId246" Target="https://doi.org/10.1146/annurev-publhealth-040617-014208" TargetMode="External" /><Relationship Type="http://schemas.openxmlformats.org/officeDocument/2006/relationships/hyperlink" Id="rId127" Target="https://doi.org/10.1146/annurev.clinpsy.3.022806.091455" TargetMode="External" /><Relationship Type="http://schemas.openxmlformats.org/officeDocument/2006/relationships/hyperlink" Id="rId287" Target="https://doi.org/10.1158/1940-6207.CAPR-19-0259" TargetMode="External" /><Relationship Type="http://schemas.openxmlformats.org/officeDocument/2006/relationships/hyperlink" Id="rId189" Target="https://doi.org/10.1176/appi.ajp.2014.14020138" TargetMode="External" /><Relationship Type="http://schemas.openxmlformats.org/officeDocument/2006/relationships/hyperlink" Id="rId116" Target="https://doi.org/10.1176/appi.ajp.21100972" TargetMode="External" /><Relationship Type="http://schemas.openxmlformats.org/officeDocument/2006/relationships/hyperlink" Id="rId108" Target="https://doi.org/10.1176/appi.books.9780890425596" TargetMode="External" /><Relationship Type="http://schemas.openxmlformats.org/officeDocument/2006/relationships/hyperlink" Id="rId315" Target="https://doi.org/10.1177/1745691618805436" TargetMode="External" /><Relationship Type="http://schemas.openxmlformats.org/officeDocument/2006/relationships/hyperlink" Id="rId278" Target="https://doi.org/10.1186/1744-859X-12-42" TargetMode="External" /><Relationship Type="http://schemas.openxmlformats.org/officeDocument/2006/relationships/hyperlink" Id="rId221" Target="https://doi.org/10.1186/1758-2946-6-10" TargetMode="External" /><Relationship Type="http://schemas.openxmlformats.org/officeDocument/2006/relationships/hyperlink" Id="rId167" Target="https://doi.org/10.1186/s12889-023-15859-6" TargetMode="External" /><Relationship Type="http://schemas.openxmlformats.org/officeDocument/2006/relationships/hyperlink" Id="rId297" Target="https://doi.org/10.1192/bjp.167.1.99" TargetMode="External" /><Relationship Type="http://schemas.openxmlformats.org/officeDocument/2006/relationships/hyperlink" Id="rId154" Target="https://doi.org/10.1348/0144665031752934" TargetMode="External" /><Relationship Type="http://schemas.openxmlformats.org/officeDocument/2006/relationships/hyperlink" Id="rId187" Target="https://doi.org/10.1371/journal.pcbi.1005589" TargetMode="External" /><Relationship Type="http://schemas.openxmlformats.org/officeDocument/2006/relationships/hyperlink" Id="rId162" Target="https://doi.org/10.1371/journal.pone.0083875" TargetMode="External" /><Relationship Type="http://schemas.openxmlformats.org/officeDocument/2006/relationships/hyperlink" Id="rId191" Target="https://doi.org/10.1371/journal.pone.0286883" TargetMode="External" /><Relationship Type="http://schemas.openxmlformats.org/officeDocument/2006/relationships/hyperlink" Id="rId244" Target="https://doi.org/10.1371/journal.pone.0295970" TargetMode="External" /><Relationship Type="http://schemas.openxmlformats.org/officeDocument/2006/relationships/hyperlink" Id="rId309" Target="https://doi.org/10.15252/embr.201642951" TargetMode="External" /><Relationship Type="http://schemas.openxmlformats.org/officeDocument/2006/relationships/hyperlink" Id="rId272" Target="https://doi.org/10.15288/jsa.1998.59.631" TargetMode="External" /><Relationship Type="http://schemas.openxmlformats.org/officeDocument/2006/relationships/hyperlink" Id="rId209" Target="https://doi.org/10.15288/jsad.2020.81.426" TargetMode="External" /><Relationship Type="http://schemas.openxmlformats.org/officeDocument/2006/relationships/hyperlink" Id="rId194" Target="https://doi.org/10.15585/mmwr.mm6444a2" TargetMode="External" /><Relationship Type="http://schemas.openxmlformats.org/officeDocument/2006/relationships/hyperlink" Id="rId150" Target="https://doi.org/10.15585/mmwr.mm6946a4" TargetMode="External" /><Relationship Type="http://schemas.openxmlformats.org/officeDocument/2006/relationships/hyperlink" Id="rId235" Target="https://doi.org/10.2165/00023210-200418040-00005" TargetMode="External" /><Relationship Type="http://schemas.openxmlformats.org/officeDocument/2006/relationships/hyperlink" Id="rId242" Target="https://doi.org/10.2466/03.11.PMS.112.2.331-348" TargetMode="External" /><Relationship Type="http://schemas.openxmlformats.org/officeDocument/2006/relationships/hyperlink" Id="rId321" Target="https://doi.org/10.31234/osf.io/cgsf7" TargetMode="External" /><Relationship Type="http://schemas.openxmlformats.org/officeDocument/2006/relationships/hyperlink" Id="rId260" Target="https://doi.org/10.3389/fnhum.2014.00425" TargetMode="External" /><Relationship Type="http://schemas.openxmlformats.org/officeDocument/2006/relationships/hyperlink" Id="rId227" Target="https://doi.org/10.3390/ijerph18052584" TargetMode="External" /><Relationship Type="http://schemas.openxmlformats.org/officeDocument/2006/relationships/hyperlink" Id="rId169" Target="https://doi.org/10.3390/info14080426" TargetMode="External" /><Relationship Type="http://schemas.openxmlformats.org/officeDocument/2006/relationships/hyperlink" Id="rId133" Target="https://doi.org/10.5888/pcd14.160600" TargetMode="External" /><Relationship Type="http://schemas.openxmlformats.org/officeDocument/2006/relationships/hyperlink" Id="rId253" Target="https://doi.org/10.7326/0003-4819-131-7-199910050-00002" TargetMode="External" /><Relationship Type="http://schemas.openxmlformats.org/officeDocument/2006/relationships/hyperlink" Id="rId91"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75" Target="https://jjcurtin.github.io/study_match/notebooks\mak_tables-preview.html#cell-tbl-int-features"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81" Target="https://jjcurtin.github.io/study_match/notebooks\shap_4wk-preview.html#cell-fig-shap-global" TargetMode="External" /><Relationship Type="http://schemas.openxmlformats.org/officeDocument/2006/relationships/hyperlink" Id="rId28" Target="https://osf.io/qad4n/" TargetMode="External" /><Relationship Type="http://schemas.openxmlformats.org/officeDocument/2006/relationships/hyperlink" Id="rId256" Target="https://www.ncbi.nlm.nih.gov/pubmed/20669516" TargetMode="External" /><Relationship Type="http://schemas.openxmlformats.org/officeDocument/2006/relationships/hyperlink" Id="rId251" Target="https://www.ncbi.nlm.nih.gov/pubmed/24455788" TargetMode="External" /><Relationship Type="http://schemas.openxmlformats.org/officeDocument/2006/relationships/hyperlink" Id="rId302"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1/jama.2015.19284" TargetMode="External" /><Relationship Type="http://schemas.openxmlformats.org/officeDocument/2006/relationships/hyperlink" Id="rId274" Target="https://doi.org/10.1001/jama.2022.0395" TargetMode="External" /><Relationship Type="http://schemas.openxmlformats.org/officeDocument/2006/relationships/hyperlink" Id="rId213" Target="https://doi.org/10.1001/jamapsychiatry.2021.2500" TargetMode="External" /><Relationship Type="http://schemas.openxmlformats.org/officeDocument/2006/relationships/hyperlink" Id="rId129" Target="https://doi.org/10.1002/14651858.CD006103.pub7" TargetMode="External" /><Relationship Type="http://schemas.openxmlformats.org/officeDocument/2006/relationships/hyperlink" Id="rId131" Target="https://doi.org/10.1002/14651858.CD009329.pub2" TargetMode="External" /><Relationship Type="http://schemas.openxmlformats.org/officeDocument/2006/relationships/hyperlink" Id="rId237" Target="https://doi.org/10.1002/14651858.CD013308" TargetMode="External" /><Relationship Type="http://schemas.openxmlformats.org/officeDocument/2006/relationships/hyperlink" Id="rId229" Target="https://doi.org/10.1002/acp.1602" TargetMode="External" /><Relationship Type="http://schemas.openxmlformats.org/officeDocument/2006/relationships/hyperlink" Id="rId138" Target="https://doi.org/10.1002/cpt.1971" TargetMode="External" /><Relationship Type="http://schemas.openxmlformats.org/officeDocument/2006/relationships/hyperlink" Id="rId224" Target="https://doi.org/10.1007/978-1-4614-6849-3" TargetMode="External" /><Relationship Type="http://schemas.openxmlformats.org/officeDocument/2006/relationships/hyperlink" Id="rId196" Target="https://doi.org/10.1007/978-1-4614-7138-7" TargetMode="External" /><Relationship Type="http://schemas.openxmlformats.org/officeDocument/2006/relationships/hyperlink" Id="rId148" Target="https://doi.org/10.1007/978-3-319-72206-1" TargetMode="External" /><Relationship Type="http://schemas.openxmlformats.org/officeDocument/2006/relationships/hyperlink" Id="rId122" Target="https://doi.org/10.1007/s10488-016-0718-5" TargetMode="External" /><Relationship Type="http://schemas.openxmlformats.org/officeDocument/2006/relationships/hyperlink" Id="rId120" Target="https://doi.org/10.1007/s10488-020-01065-8" TargetMode="External" /><Relationship Type="http://schemas.openxmlformats.org/officeDocument/2006/relationships/hyperlink" Id="rId289" Target="https://doi.org/10.1007/s11031-005-7955-3" TargetMode="External" /><Relationship Type="http://schemas.openxmlformats.org/officeDocument/2006/relationships/hyperlink" Id="rId311" Target="https://doi.org/10.1007/s11121-009-0141-1" TargetMode="External" /><Relationship Type="http://schemas.openxmlformats.org/officeDocument/2006/relationships/hyperlink" Id="rId144" Target="https://doi.org/10.1007/s11336-013-9328-2" TargetMode="External" /><Relationship Type="http://schemas.openxmlformats.org/officeDocument/2006/relationships/hyperlink" Id="rId291" Target="https://doi.org/10.1016/0022-3999(94)00125-O" TargetMode="External" /><Relationship Type="http://schemas.openxmlformats.org/officeDocument/2006/relationships/hyperlink" Id="rId317" Target="https://doi.org/10.1016/S0140-6736(13)61611-6" TargetMode="External" /><Relationship Type="http://schemas.openxmlformats.org/officeDocument/2006/relationships/hyperlink" Id="rId276" Target="https://doi.org/10.1016/S1470-2045(11)70393-X" TargetMode="External" /><Relationship Type="http://schemas.openxmlformats.org/officeDocument/2006/relationships/hyperlink" Id="rId231" Target="https://doi.org/10.1016/S2213-2600(14)70294-2" TargetMode="External" /><Relationship Type="http://schemas.openxmlformats.org/officeDocument/2006/relationships/hyperlink" Id="rId106" Target="https://doi.org/10.1016/S2468-2667(19)30112-4" TargetMode="External" /><Relationship Type="http://schemas.openxmlformats.org/officeDocument/2006/relationships/hyperlink" Id="rId158" Target="https://doi.org/10.1016/j.addbeh.2003.08.014" TargetMode="External" /><Relationship Type="http://schemas.openxmlformats.org/officeDocument/2006/relationships/hyperlink" Id="rId207" Target="https://doi.org/10.1016/j.addbeh.2015.07.019" TargetMode="External" /><Relationship Type="http://schemas.openxmlformats.org/officeDocument/2006/relationships/hyperlink" Id="rId156" Target="https://doi.org/10.1016/j.addbeh.2016.12.011" TargetMode="External" /><Relationship Type="http://schemas.openxmlformats.org/officeDocument/2006/relationships/hyperlink" Id="rId118" Target="https://doi.org/10.1016/j.addicn.2023.100068" TargetMode="External" /><Relationship Type="http://schemas.openxmlformats.org/officeDocument/2006/relationships/hyperlink" Id="rId185" Target="https://doi.org/10.1016/j.amepre.2017.01.038" TargetMode="External" /><Relationship Type="http://schemas.openxmlformats.org/officeDocument/2006/relationships/hyperlink" Id="rId171" Target="https://doi.org/10.1016/j.biopsych.2020.02.015" TargetMode="External" /><Relationship Type="http://schemas.openxmlformats.org/officeDocument/2006/relationships/hyperlink" Id="rId160" Target="https://doi.org/10.1016/j.brat.2019.103506" TargetMode="External" /><Relationship Type="http://schemas.openxmlformats.org/officeDocument/2006/relationships/hyperlink" Id="rId268" Target="https://doi.org/10.1016/j.drugalcdep.2016.11.025" TargetMode="External" /><Relationship Type="http://schemas.openxmlformats.org/officeDocument/2006/relationships/hyperlink" Id="rId264" Target="https://doi.org/10.1016/j.drugalcdep.2016.11.027" TargetMode="External" /><Relationship Type="http://schemas.openxmlformats.org/officeDocument/2006/relationships/hyperlink" Id="rId104" Target="https://doi.org/10.1016/j.jval.2022.04.206" TargetMode="External" /><Relationship Type="http://schemas.openxmlformats.org/officeDocument/2006/relationships/hyperlink" Id="rId140" Target="https://doi.org/10.1016/j.neulet.2016.05.033" TargetMode="External" /><Relationship Type="http://schemas.openxmlformats.org/officeDocument/2006/relationships/hyperlink" Id="rId283" Target="https://doi.org/10.1016/j.pbb.2008.10.016" TargetMode="External" /><Relationship Type="http://schemas.openxmlformats.org/officeDocument/2006/relationships/hyperlink" Id="rId313" Target="https://doi.org/10.1017/S0033291718001708" TargetMode="External" /><Relationship Type="http://schemas.openxmlformats.org/officeDocument/2006/relationships/hyperlink" Id="rId248" Target="https://doi.org/10.1017/cts.2020.42" TargetMode="External" /><Relationship Type="http://schemas.openxmlformats.org/officeDocument/2006/relationships/hyperlink" Id="rId299" Target="https://doi.org/10.1017/jsc.2020.11" TargetMode="External" /><Relationship Type="http://schemas.openxmlformats.org/officeDocument/2006/relationships/hyperlink" Id="rId200" Target="https://doi.org/10.1023/A:1008987426876" TargetMode="External" /><Relationship Type="http://schemas.openxmlformats.org/officeDocument/2006/relationships/hyperlink" Id="rId304" Target="https://doi.org/10.1037/1040-3590.19.2.176" TargetMode="External" /><Relationship Type="http://schemas.openxmlformats.org/officeDocument/2006/relationships/hyperlink" Id="rId215" Target="https://doi.org/10.1037/a0028445" TargetMode="External" /><Relationship Type="http://schemas.openxmlformats.org/officeDocument/2006/relationships/hyperlink" Id="rId293" Target="https://doi.org/10.1037/pas0000978" TargetMode="External" /><Relationship Type="http://schemas.openxmlformats.org/officeDocument/2006/relationships/hyperlink" Id="rId177" Target="https://doi.org/10.1037/pha0000141" TargetMode="External" /><Relationship Type="http://schemas.openxmlformats.org/officeDocument/2006/relationships/hyperlink" Id="rId179" Target="https://doi.org/10.1038/clpt.2014.124" TargetMode="External" /><Relationship Type="http://schemas.openxmlformats.org/officeDocument/2006/relationships/hyperlink" Id="rId173" Target="https://doi.org/10.1038/ng.3404" TargetMode="External" /><Relationship Type="http://schemas.openxmlformats.org/officeDocument/2006/relationships/hyperlink" Id="rId219" Target="https://doi.org/10.1046/j.1525-1497.2001.016009606.x" TargetMode="External" /><Relationship Type="http://schemas.openxmlformats.org/officeDocument/2006/relationships/hyperlink" Id="rId110" Target="https://doi.org/10.1056/NEJMp1301935" TargetMode="External" /><Relationship Type="http://schemas.openxmlformats.org/officeDocument/2006/relationships/hyperlink" Id="rId198" Target="https://doi.org/10.1056/NEJMsa1211128" TargetMode="External" /><Relationship Type="http://schemas.openxmlformats.org/officeDocument/2006/relationships/hyperlink" Id="rId325" Target="https://doi.org/10.1080/00273171.2013.763012" TargetMode="External" /><Relationship Type="http://schemas.openxmlformats.org/officeDocument/2006/relationships/hyperlink" Id="rId182" Target="https://doi.org/10.1080/10826084.2019.1691593" TargetMode="External" /><Relationship Type="http://schemas.openxmlformats.org/officeDocument/2006/relationships/hyperlink" Id="rId202" Target="https://doi.org/10.1080/17460441.2018.1458090" TargetMode="External" /><Relationship Type="http://schemas.openxmlformats.org/officeDocument/2006/relationships/hyperlink" Id="rId233" Target="https://doi.org/10.1080/20008198.2020.1729633" TargetMode="External" /><Relationship Type="http://schemas.openxmlformats.org/officeDocument/2006/relationships/hyperlink" Id="rId323" Target="https://doi.org/10.1093/jpepsy/jst062" TargetMode="External" /><Relationship Type="http://schemas.openxmlformats.org/officeDocument/2006/relationships/hyperlink" Id="rId295" Target="https://doi.org/10.1093/ntr/ntq032" TargetMode="External" /><Relationship Type="http://schemas.openxmlformats.org/officeDocument/2006/relationships/hyperlink" Id="rId262" Target="https://doi.org/10.1093/ntr/ntt025" TargetMode="External" /><Relationship Type="http://schemas.openxmlformats.org/officeDocument/2006/relationships/hyperlink" Id="rId142" Target="https://doi.org/10.1093/ntr/ntv125" TargetMode="External" /><Relationship Type="http://schemas.openxmlformats.org/officeDocument/2006/relationships/hyperlink" Id="rId152" Target="https://doi.org/10.1093/ntr/nty259" TargetMode="External" /><Relationship Type="http://schemas.openxmlformats.org/officeDocument/2006/relationships/hyperlink" Id="rId266" Target="https://doi.org/10.1111/add.13162" TargetMode="External" /><Relationship Type="http://schemas.openxmlformats.org/officeDocument/2006/relationships/hyperlink" Id="rId217" Target="https://doi.org/10.1111/add.13818" TargetMode="External" /><Relationship Type="http://schemas.openxmlformats.org/officeDocument/2006/relationships/hyperlink" Id="rId258" Target="https://doi.org/10.1111/add.14023" TargetMode="External" /><Relationship Type="http://schemas.openxmlformats.org/officeDocument/2006/relationships/hyperlink" Id="rId285" Target="https://doi.org/10.1111/add.14450" TargetMode="External" /><Relationship Type="http://schemas.openxmlformats.org/officeDocument/2006/relationships/hyperlink" Id="rId307" Target="https://doi.org/10.1111/j.1360-0443.1993.tb02060.x" TargetMode="External" /><Relationship Type="http://schemas.openxmlformats.org/officeDocument/2006/relationships/hyperlink" Id="rId211" Target="https://doi.org/10.1111/j.1465-3362.2012.00465.x" TargetMode="External" /><Relationship Type="http://schemas.openxmlformats.org/officeDocument/2006/relationships/hyperlink" Id="rId205" Target="https://doi.org/10.1111/j.1475-6773.2011.01314.x" TargetMode="External" /><Relationship Type="http://schemas.openxmlformats.org/officeDocument/2006/relationships/hyperlink" Id="rId270" Target="https://doi.org/10.1111/j.1530-0277.1993.tb05219.x" TargetMode="External" /><Relationship Type="http://schemas.openxmlformats.org/officeDocument/2006/relationships/hyperlink" Id="rId319" Target="https://doi.org/10.1111/jcpp.12295" TargetMode="External" /><Relationship Type="http://schemas.openxmlformats.org/officeDocument/2006/relationships/hyperlink" Id="rId136" Target="https://doi.org/10.1136/bmjopen-2016-011045" TargetMode="External" /><Relationship Type="http://schemas.openxmlformats.org/officeDocument/2006/relationships/hyperlink" Id="rId240" Target="https://doi.org/10.1139/gen-2020-0131" TargetMode="External" /><Relationship Type="http://schemas.openxmlformats.org/officeDocument/2006/relationships/hyperlink" Id="rId165" Target="https://doi.org/10.1146/annurev-clinpsy-032816-045037" TargetMode="External" /><Relationship Type="http://schemas.openxmlformats.org/officeDocument/2006/relationships/hyperlink" Id="rId281" Target="https://doi.org/10.1146/annurev-clinpsy-050212-185602" TargetMode="External" /><Relationship Type="http://schemas.openxmlformats.org/officeDocument/2006/relationships/hyperlink" Id="rId146" Target="https://doi.org/10.1146/annurev-clinpsy-050817-084746" TargetMode="External" /><Relationship Type="http://schemas.openxmlformats.org/officeDocument/2006/relationships/hyperlink" Id="rId125" Target="https://doi.org/10.1146/annurev-clinpsy-050817-084847" TargetMode="External" /><Relationship Type="http://schemas.openxmlformats.org/officeDocument/2006/relationships/hyperlink" Id="rId112" Target="https://doi.org/10.1146/annurev-clinpsy-081219-090343" TargetMode="External" /><Relationship Type="http://schemas.openxmlformats.org/officeDocument/2006/relationships/hyperlink" Id="rId246" Target="https://doi.org/10.1146/annurev-publhealth-040617-014208" TargetMode="External" /><Relationship Type="http://schemas.openxmlformats.org/officeDocument/2006/relationships/hyperlink" Id="rId127" Target="https://doi.org/10.1146/annurev.clinpsy.3.022806.091455" TargetMode="External" /><Relationship Type="http://schemas.openxmlformats.org/officeDocument/2006/relationships/hyperlink" Id="rId287" Target="https://doi.org/10.1158/1940-6207.CAPR-19-0259" TargetMode="External" /><Relationship Type="http://schemas.openxmlformats.org/officeDocument/2006/relationships/hyperlink" Id="rId189" Target="https://doi.org/10.1176/appi.ajp.2014.14020138" TargetMode="External" /><Relationship Type="http://schemas.openxmlformats.org/officeDocument/2006/relationships/hyperlink" Id="rId116" Target="https://doi.org/10.1176/appi.ajp.21100972" TargetMode="External" /><Relationship Type="http://schemas.openxmlformats.org/officeDocument/2006/relationships/hyperlink" Id="rId108" Target="https://doi.org/10.1176/appi.books.9780890425596" TargetMode="External" /><Relationship Type="http://schemas.openxmlformats.org/officeDocument/2006/relationships/hyperlink" Id="rId315" Target="https://doi.org/10.1177/1745691618805436" TargetMode="External" /><Relationship Type="http://schemas.openxmlformats.org/officeDocument/2006/relationships/hyperlink" Id="rId278" Target="https://doi.org/10.1186/1744-859X-12-42" TargetMode="External" /><Relationship Type="http://schemas.openxmlformats.org/officeDocument/2006/relationships/hyperlink" Id="rId221" Target="https://doi.org/10.1186/1758-2946-6-10" TargetMode="External" /><Relationship Type="http://schemas.openxmlformats.org/officeDocument/2006/relationships/hyperlink" Id="rId167" Target="https://doi.org/10.1186/s12889-023-15859-6" TargetMode="External" /><Relationship Type="http://schemas.openxmlformats.org/officeDocument/2006/relationships/hyperlink" Id="rId297" Target="https://doi.org/10.1192/bjp.167.1.99" TargetMode="External" /><Relationship Type="http://schemas.openxmlformats.org/officeDocument/2006/relationships/hyperlink" Id="rId154" Target="https://doi.org/10.1348/0144665031752934" TargetMode="External" /><Relationship Type="http://schemas.openxmlformats.org/officeDocument/2006/relationships/hyperlink" Id="rId187" Target="https://doi.org/10.1371/journal.pcbi.1005589" TargetMode="External" /><Relationship Type="http://schemas.openxmlformats.org/officeDocument/2006/relationships/hyperlink" Id="rId162" Target="https://doi.org/10.1371/journal.pone.0083875" TargetMode="External" /><Relationship Type="http://schemas.openxmlformats.org/officeDocument/2006/relationships/hyperlink" Id="rId191" Target="https://doi.org/10.1371/journal.pone.0286883" TargetMode="External" /><Relationship Type="http://schemas.openxmlformats.org/officeDocument/2006/relationships/hyperlink" Id="rId244" Target="https://doi.org/10.1371/journal.pone.0295970" TargetMode="External" /><Relationship Type="http://schemas.openxmlformats.org/officeDocument/2006/relationships/hyperlink" Id="rId309" Target="https://doi.org/10.15252/embr.201642951" TargetMode="External" /><Relationship Type="http://schemas.openxmlformats.org/officeDocument/2006/relationships/hyperlink" Id="rId272" Target="https://doi.org/10.15288/jsa.1998.59.631" TargetMode="External" /><Relationship Type="http://schemas.openxmlformats.org/officeDocument/2006/relationships/hyperlink" Id="rId209" Target="https://doi.org/10.15288/jsad.2020.81.426" TargetMode="External" /><Relationship Type="http://schemas.openxmlformats.org/officeDocument/2006/relationships/hyperlink" Id="rId194" Target="https://doi.org/10.15585/mmwr.mm6444a2" TargetMode="External" /><Relationship Type="http://schemas.openxmlformats.org/officeDocument/2006/relationships/hyperlink" Id="rId150" Target="https://doi.org/10.15585/mmwr.mm6946a4" TargetMode="External" /><Relationship Type="http://schemas.openxmlformats.org/officeDocument/2006/relationships/hyperlink" Id="rId235" Target="https://doi.org/10.2165/00023210-200418040-00005" TargetMode="External" /><Relationship Type="http://schemas.openxmlformats.org/officeDocument/2006/relationships/hyperlink" Id="rId242" Target="https://doi.org/10.2466/03.11.PMS.112.2.331-348" TargetMode="External" /><Relationship Type="http://schemas.openxmlformats.org/officeDocument/2006/relationships/hyperlink" Id="rId321" Target="https://doi.org/10.31234/osf.io/cgsf7" TargetMode="External" /><Relationship Type="http://schemas.openxmlformats.org/officeDocument/2006/relationships/hyperlink" Id="rId260" Target="https://doi.org/10.3389/fnhum.2014.00425" TargetMode="External" /><Relationship Type="http://schemas.openxmlformats.org/officeDocument/2006/relationships/hyperlink" Id="rId227" Target="https://doi.org/10.3390/ijerph18052584" TargetMode="External" /><Relationship Type="http://schemas.openxmlformats.org/officeDocument/2006/relationships/hyperlink" Id="rId169" Target="https://doi.org/10.3390/info14080426" TargetMode="External" /><Relationship Type="http://schemas.openxmlformats.org/officeDocument/2006/relationships/hyperlink" Id="rId133" Target="https://doi.org/10.5888/pcd14.160600" TargetMode="External" /><Relationship Type="http://schemas.openxmlformats.org/officeDocument/2006/relationships/hyperlink" Id="rId253" Target="https://doi.org/10.7326/0003-4819-131-7-199910050-00002" TargetMode="External" /><Relationship Type="http://schemas.openxmlformats.org/officeDocument/2006/relationships/hyperlink" Id="rId91"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75" Target="https://jjcurtin.github.io/study_match/notebooks\mak_tables-preview.html#cell-tbl-int-features"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81" Target="https://jjcurtin.github.io/study_match/notebooks\shap_4wk-preview.html#cell-fig-shap-global" TargetMode="External" /><Relationship Type="http://schemas.openxmlformats.org/officeDocument/2006/relationships/hyperlink" Id="rId28" Target="https://osf.io/qad4n/" TargetMode="External" /><Relationship Type="http://schemas.openxmlformats.org/officeDocument/2006/relationships/hyperlink" Id="rId256" Target="https://www.ncbi.nlm.nih.gov/pubmed/20669516" TargetMode="External" /><Relationship Type="http://schemas.openxmlformats.org/officeDocument/2006/relationships/hyperlink" Id="rId251" Target="https://www.ncbi.nlm.nih.gov/pubmed/24455788" TargetMode="External" /><Relationship Type="http://schemas.openxmlformats.org/officeDocument/2006/relationships/hyperlink" Id="rId302"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2024-06-05T00:51:36Z</dcterms:created>
  <dcterms:modified xsi:type="dcterms:W3CDTF">2024-06-05T00:51:36Z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cessation. We used data from a previously completed comparative effectiveness trial in which participants were richly characterized at baseline before being randomly assigned to varenicline, combination nicotine replacement therapy, or nicotine patch. We built a model predicting smoking cessation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0.695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XX, p = 0.004).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2024-06-04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