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In addition to offering improved effectiveness, precision mental health approaches may be more resource-efficient. Clinical trials to develop and validate new treatments are expensive, resource-intensive, and extremely slow (CITE?). These costs may also produce a treatment that is no better than existing treatments, or potentially ineffective altogether. In contrast, by seeking to optimize existing treatments and direct them to the</w:t>
      </w:r>
      <w:r>
        <w:t xml:space="preserve"> </w:t>
      </w:r>
      <w:r>
        <w:rPr>
          <w:iCs/>
          <w:i/>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grown rapidly with the ascendancy of advanced genetic methods such as genome-wide association studies and polygenic scores3,4.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diagnostic category into subgroups that can be treated differently7.</w:t>
      </w:r>
      <w:r>
        <w:t xml:space="preserve"> </w:t>
      </w:r>
    </w:p>
    <w:p>
      <w:pPr>
        <w:pStyle w:val="BodyText"/>
      </w:pPr>
      <w:r>
        <w:t xml:space="preserve">Despite these opportunities for advances, however, precision mental health research has progressed with limited success.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This idea is perhaps comparable to the shift in understanding within genetics: research has moved away from candidate gene studies to polygenic approaches that rely on small contributions from many genes (Bogdan et al., 2018).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Cs/>
          <w:i/>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overfitting.8,9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 Treatments are rarely designed or evaluated in diverse samples, though the NIH has launched some new initiatives to improve this disparity. This push becomes somewhat irrelevant, however, when we rely exclusively on treatments developed decades ago that were effective in homogeneous samples, and we discount treatments that were less effective within the research sample but may have worked well for people with characteristics or identities not well-represented in that sample. Unfortunately, the people who we failed to include in our treatment design and validation are also those who are often disproportionately affected by these exact health conditions or face additional barriers to receive effective treatment.</w:t>
      </w:r>
    </w:p>
    <w:p>
      <w:pPr>
        <w:pStyle w:val="BodyText"/>
      </w:pPr>
      <w:r>
        <w:t xml:space="preserve">These problems have, in some ways,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might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not only inappropriate but also discriminatory.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w:t>
      </w:r>
    </w:p>
    <w:p>
      <w:pPr>
        <w:pStyle w:val="BodyText"/>
      </w:pPr>
      <w:r>
        <w:t xml:space="preserve">An additional way in which this approach can help mitigate health disparities is through access. Many of the individual difference features that could help build treatment selection models may be easily measured via self-report, and dimensionality reduction approaches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annually10-12. Although rates of smoking have declined considerably, approximately 14% of U.S. adults continue to smoke daily or near-daily10-12. Cigarette smoking rates also remain much higher in potentially vulnerable populations including: people with chronic or severe mental illness (Baker ARCP); Native American and non-Hispanic Black individuals (CDC 2007); individuals who are economically and educationally disadvantaged (CDC 2007); people with other substance use disorders (Kelly 2012); people in the criminal justice system (Cropsey Eldridge Ladner 2004; Harrison et al 2019); people experiencing homelessness (); people who are insured through Medicaid or uninsured (Jamal 2015); and individuals who identify as lesbian, gay, or bisexual (Jamal 2015).</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 (CITE Baker ARCP review). A survey of almost 16000 US adults who use cigarettes showed that the most commonly used strategies by far to quit were giving up cigarettes all at once and gradually cutting back, with a much smaller proportion using evidence-based treatments (CITE Carabello 2017).</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 (Cahill et al., 2013), and guidelines recommend that clinicians consider either of these two medications first given their established efficacy (Fiore et al., 2008). These medications appear to be equally (though modestly) effective: a meta-analysis demonstrated comparable effectiveness rates (Cahill et al., 2013), and the first randomized controlled trial (RCT) directly comparing varenicline and C-NRT did not find a difference between them (Baker et al., 2016).</w:t>
      </w:r>
    </w:p>
    <w:p>
      <w:pPr>
        <w:pStyle w:val="BodyText"/>
      </w:pPr>
      <w:r>
        <w:t xml:space="preserve">Typically, 6-month abstinence rates hover around 30-35% for these best smoking cessation medications combined with psychosocial counseling13,14. Treatment with an FDA-approved medication doubles the likelihood that an individual will quit successfully (Baker ARCP).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(Fiore et al., 2008,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 (Oliver &amp; McClernon, 2017; J. Wang, Simons-Morton, Farhat, Farhart, &amp; Luk, 2009; Zheng, Wiebe, Cleveland, Molenaar, &amp; Harris, 2013).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 (Jordan &amp; Xi, 2018; Lieberman, 2004).</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 (Cahill, Lindson‐Hawley, Thomas, Fanshawe, &amp; Lancaster, 2016).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are aware enough of their own craving to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 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 (Heckman et al., 2017). Relatedly, there is some evidence that re-treatment with the same medication as a previous, unsuccessful quit attempt is not effective; Gonzales and colleagues note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(Gonzales et al., 2014, p. 391; Fiore et al., 2008; Tønnesen, Nørregaard, Säwe, &amp; Simonsen, 1993). Additionally, clinical research related to other psychological and psychiatric disorders has demonstrated differential treatment benefit on an individual basis (e.g., antipsychotic medications for schizophrenia; Roussidis et al., 2013),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bookmarkEnd w:id="26"/>
    <w:bookmarkEnd w:id="27"/>
    <w:bookmarkStart w:id="28" w:name="purpose"/>
    <w:p>
      <w:pPr>
        <w:pStyle w:val="Heading3"/>
      </w:pPr>
      <w:r>
        <w:t xml:space="preserve">Purpose</w:t>
      </w:r>
    </w:p>
    <w:bookmarkEnd w:id="28"/>
    <w:bookmarkEnd w:id="29"/>
    <w:bookmarkStart w:id="48"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For our Bayesian hierarchical generalized linear models, we followed guidelines from the tidymodels team (CITE) that we have followed in other published research from our laboratory (Wyant et al., in press).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(CTRI)21.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receive 12 weeks of medication treatment plus 6 sessions of motivational and skill-training counseling per clinical guidelines (CITE FIORE GUIDELIINES).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X.</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 Baker et al., 2016). If participants self-reported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r>
        <w:t xml:space="preserve"> </w:t>
      </w:r>
      <w:r>
        <w:t xml:space="preserve">Participants were assessed for abstinence periodically beginning 4 week post-quit through the end of their study participation. Our</w:t>
      </w:r>
      <w:r>
        <w:t xml:space="preserve"> </w:t>
      </w:r>
      <w:r>
        <w:rPr>
          <w:iCs/>
          <w:i/>
        </w:rPr>
        <w:t xml:space="preserve">primary prediction outcome</w:t>
      </w:r>
      <w:r>
        <w:t xml:space="preserve"> </w:t>
      </w:r>
      <w:r>
        <w:t xml:space="preserve">for our models was point-prevalence abstinence at 4 weeks post-quit.</w:t>
      </w:r>
    </w:p>
    <w:bookmarkEnd w:id="34"/>
    <w:bookmarkEnd w:id="35"/>
    <w:bookmarkStart w:id="43" w:name="aim-1-analytic-strategy-model-building"/>
    <w:p>
      <w:pPr>
        <w:pStyle w:val="Heading3"/>
      </w:pPr>
      <w:r>
        <w:t xml:space="preserve">AIM 1 analytic strategy: Model building</w:t>
      </w:r>
    </w:p>
    <w:bookmarkStart w:id="36" w:name="X42292a969672031a6b3ea9ffa45aef60f2fd619"/>
    <w:p>
      <w:pPr>
        <w:pStyle w:val="Heading4"/>
      </w:pPr>
      <w:r>
        <w:t xml:space="preserve">Feature engineering and dimensionality reduction</w:t>
      </w:r>
    </w:p>
    <w:p>
      <w:pPr>
        <w:pStyle w:val="FirstParagraph"/>
      </w:pPr>
      <w:r>
        <w:t xml:space="preserve">Feature engineering is the process of converting raw predictors into meaningful numeric and/or categorical representations (features) that improve model effectiveness (CITE kuhn feature engineering). A sample feature engineering script (i.e., tidymodels recipe) containing all feature engineering steps is available on our OSF study page (</w:t>
      </w:r>
      <w:hyperlink r:id="rId30">
        <w:r>
          <w:rPr>
            <w:rStyle w:val="Hyperlink"/>
          </w:rPr>
          <w:t xml:space="preserve">https://osf.io/qad4n/</w:t>
        </w:r>
      </w:hyperlink>
      <w:r>
        <w:t xml:space="preserve">). Our generic feature engineering steps included: 1) imputing missing data (median imputation for numeric features, mode imputation for nominal and ordinal features); and 2) removing zero-variance features. Medians/modes for missing data imputation and identification of zero variance features were derived from held-in (training) data and applied to held-out (validation and test) data (see Cross-validation section below).</w:t>
      </w:r>
    </w:p>
    <w:p>
      <w:pPr>
        <w:pStyle w:val="BodyText"/>
      </w:pPr>
      <w:r>
        <w:t xml:space="preserve">We used a Yeo-Johnson transformation on all numeric variables to address distributional shape. Unordered categorical variables were dummy-coded. Ordered categorical variables (e.g., Likert scale items on self-report measures) could be ordinal scored (i.e., treated as numeric data) or dummy-coded. We also allowed treatment (dummy coded) to interact with all other features. Finally, all features were normalized as a requirement of the GLMNet algorithm.</w:t>
      </w:r>
    </w:p>
    <w:p>
      <w:pPr>
        <w:pStyle w:val="BodyText"/>
      </w:pPr>
      <w:r>
        <w:t xml:space="preserve">Although machine learning methods can handle high-dimensional data, there is a cost to including a high ratio of features to observations (</w:t>
      </w:r>
      <w:r>
        <w:t xml:space="preserve">“</w:t>
      </w:r>
      <w:r>
        <w:rPr>
          <w:iCs/>
          <w:i/>
        </w:rPr>
        <w:t xml:space="preserve">p</w:t>
      </w:r>
      <w:r>
        <w:t xml:space="preserve"> </w:t>
      </w:r>
      <w:r>
        <w:t xml:space="preserve">to</w:t>
      </w:r>
      <w:r>
        <w:t xml:space="preserve"> </w:t>
      </w:r>
      <w:r>
        <w:rPr>
          <w:iCs/>
          <w:i/>
        </w:rPr>
        <w:t xml:space="preserve">n</w:t>
      </w:r>
      <w:r>
        <w:t xml:space="preserve"> </w:t>
      </w:r>
      <w:r>
        <w:t xml:space="preserve">ratio</w:t>
      </w:r>
      <w:r>
        <w:t xml:space="preserve">”</w:t>
      </w:r>
      <w:r>
        <w:t xml:space="preserve">). Models were</w:t>
      </w:r>
      <w:r>
        <w:t xml:space="preserve"> </w:t>
      </w:r>
      <w:r>
        <w:rPr>
          <w:iCs/>
          <w:i/>
        </w:rPr>
        <w:t xml:space="preserve">p</w:t>
      </w:r>
      <w:r>
        <w:t xml:space="preserve"> </w:t>
      </w:r>
      <w:r>
        <w:t xml:space="preserve">&gt;</w:t>
      </w:r>
      <w:r>
        <w:t xml:space="preserve"> </w:t>
      </w:r>
      <w:r>
        <w:rPr>
          <w:iCs/>
          <w:i/>
        </w:rPr>
        <w:t xml:space="preserve">n</w:t>
      </w:r>
      <w:r>
        <w:t xml:space="preserve"> </w:t>
      </w:r>
      <w:r>
        <w:t xml:space="preserve">are possible with machine learning; however, models can become easily overfit and therefore not generalizable to new data. Thus, we used several dimensionality reduction approaches to reduce the number of features in my models. We used data-driven methods for dimensionality reduction including: removing highly correlated or near-zero variance features, and considering feature engineering approaches that reduced the number of overall features (e.g., ordinal scoring vs. dummy coding). The algorithm GLMNet also inherently conducts dimensionality reduction by penalizing model complexity such that features’ predictive value must outweigh the cost of including an additional parameter in the model.</w:t>
      </w:r>
    </w:p>
    <w:p>
      <w:pPr>
        <w:pStyle w:val="BodyText"/>
      </w:pPr>
      <w:r>
        <w:t xml:space="preserve">We also used several non-data-driven approaches for dimensionality reduction. First, we used domain knowledge to reduce dimensionality by removing features that lacked face validity for predicting abstinence or overlapped conceptually with other features. Second, we removed variables that stood in contrast to the ultimate implementation goals (e.g., variables whose assessment required blood work or lab tests).</w:t>
      </w:r>
    </w:p>
    <w:bookmarkEnd w:id="36"/>
    <w:bookmarkStart w:id="40" w:name="model-training-and-evaluation"/>
    <w:p>
      <w:pPr>
        <w:pStyle w:val="Heading4"/>
      </w:pPr>
      <w:r>
        <w:t xml:space="preserve">Model training and evaluation</w:t>
      </w:r>
    </w:p>
    <w:bookmarkStart w:id="37" w:name="model-configurations"/>
    <w:p>
      <w:pPr>
        <w:pStyle w:val="Heading5"/>
      </w:pPr>
      <w:r>
        <w:t xml:space="preserve">Model configurations</w:t>
      </w:r>
    </w:p>
    <w:p>
      <w:pPr>
        <w:pStyle w:val="FirstParagraph"/>
      </w:pPr>
      <w:r>
        <w:t xml:space="preserve">All model configurations used the statistical algorithm Elastic Net Logistic Regression (GLMNet). This algorithm aligns with our primary goal of building a treatment selection model in several ways. First, it allows for explicit inclusion of interaction terms (i.e., including interactions between treatment and all other variables). This permits capturing multiple interactions that each account for a small portion of variance.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Candidate model configurations differed across sensible values of the hyperparameters alpha and lambda (GLMNet tuning parameters). We also considered several outcome resampling techniques: no resampling, up-sampling, down-sampling, and the synthetic minority oversampling technique (SMOTE). These resampling techniques were used to create majority/abstinence to minority/smoking ratios in the held-in training data ranging from 2:1 to 1:1 (natural rate in data ~3:1).</w:t>
      </w:r>
    </w:p>
    <w:p>
      <w:pPr>
        <w:pStyle w:val="BodyText"/>
      </w:pPr>
      <w:r>
        <w:t xml:space="preserve">We considered several feature sets across model configurations. Feature sets could include either items (i.e., individual items within a self-report measure) or scales (i.e., total scale and sub-scale scores derived from items in a self-report measure). All other features (e.g., demographic variables) were included across model configurations.</w:t>
      </w:r>
    </w:p>
    <w:p>
      <w:pPr>
        <w:pStyle w:val="BodyText"/>
      </w:pPr>
      <w:r>
        <w:t xml:space="preserve">Feature engineering steps also differed across model configurations regarding how ordinal data were scored. Specifically, ordinal data could be considered as numeric (e.g., 1 - 7) or dummy coded (e.g., 7 dummy code features for a 7-level variable). Numeric and unordered nominal data were treated identically across configurations.</w:t>
      </w:r>
    </w:p>
    <w:bookmarkEnd w:id="37"/>
    <w:bookmarkStart w:id="38"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 [CITE kuhnAppliedPredictiveModeling2018].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and 2) is unaffected by class imbalance, which is important for comparing models with differing levels of class imbalance.</w:t>
      </w:r>
    </w:p>
    <w:bookmarkEnd w:id="38"/>
    <w:bookmarkStart w:id="39" w:name="cross-validation"/>
    <w:p>
      <w:pPr>
        <w:pStyle w:val="Heading5"/>
      </w:pPr>
      <w:r>
        <w:t xml:space="preserve">Cross-validation</w:t>
      </w:r>
    </w:p>
    <w:p>
      <w:pPr>
        <w:pStyle w:val="FirstParagraph"/>
      </w:pPr>
      <w:r>
        <w:t xml:space="preserve">We used nested cross-validation for model training, selection, and evaluation with auROC. Cross-validation allows for rigorous consideration of many model configurations (i.e., combinations of feature sets, statistical algorithms, resampling techniques, and hyperparameters) and prioritizes performance in new data not used for model training.</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 [ CITE jonathanUseCrossvalidationAssess2000].</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 We report median auROC for our best model configurations for each model (4-week and 26-week) in the test sets. For completeness, we also report auROCs for these models from the validation sets in the Supplement. In addition, we report other key performance metrics for the best full model configurations including sensitivity, specificity, balanced accuracy, positive predictive value (PPV), and negative predictive value (NPV) from the test sets [CITE kuhnAppliedPredictiveModeling2018].</w:t>
      </w:r>
    </w:p>
    <w:p>
      <w:pPr>
        <w:pStyle w:val="BodyText"/>
      </w:pPr>
      <w:r>
        <w:t xml:space="preserve">Following model evaluation, we completed another round of 1 repeat of 10-fold cross-validation using the full dataset. A single best model configuration was selected using median auROC across the 10 held-out folds; importantly, model performance is used</w:t>
      </w:r>
      <w:r>
        <w:t xml:space="preserve"> </w:t>
      </w:r>
      <w:r>
        <w:rPr>
          <w:iCs/>
          <w:i/>
        </w:rPr>
        <w:t xml:space="preserve">only</w:t>
      </w:r>
      <w:r>
        <w:t xml:space="preserve"> </w:t>
      </w:r>
      <w:r>
        <w:t xml:space="preserve">for selection and not evaluation in this phase. We fit our final model using this best model configuration in the full dataset, which was then used for clinical benefit analyses (below).</w:t>
      </w:r>
    </w:p>
    <w:bookmarkEnd w:id="39"/>
    <w:bookmarkEnd w:id="40"/>
    <w:bookmarkStart w:id="41" w:name="evaluation-of-model-performance"/>
    <w:p>
      <w:pPr>
        <w:pStyle w:val="Heading4"/>
      </w:pPr>
      <w:r>
        <w:t xml:space="preserve">Evaluation of model performance</w:t>
      </w:r>
    </w:p>
    <w:p>
      <w:pPr>
        <w:pStyle w:val="FirstParagraph"/>
      </w:pPr>
      <w:r>
        <w:t xml:space="preserve">We used a Bayesian hierarchical generalized linear model to estimate the posterior probability distributions and 95% Bayesian confidence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To estimate the probability that the 4-week model outperformed the 26-week model, we regressed the auROCs (logit transformed) from the 30 test sets for each model as a function of outcome (4-week vs. 26-week). Following recommendations from the tidymodels team [CITE kuhnTidyposteriorBayesianAnalysis2022], we set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 We also report 95% (equal-tailed) Bayesian CIs for the differences in performance associated with the Bayesian comparisons. If the 95% Bayesian CI around a difference in performance does not include 0, we can conclude that one model performs better than the other.</w:t>
      </w:r>
    </w:p>
    <w:p>
      <w:pPr>
        <w:pStyle w:val="BodyText"/>
      </w:pPr>
      <w:r>
        <w:t xml:space="preserve">Bayesian analyses were accomplished using the tidyposterior [CITE kuhnTidyposteriorBayesianAnalysis2022] and rstanarm [CITE goodrichRstanarmBayesianApplied2023] packages in R. Following recommendations from the rstanarm team and others [CITE rstudioteamRStudioIntegratedDevelopment2020; CITE gabryPriorDistributionsRstanarm2023],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r>
        <w:t xml:space="preserve"> </w:t>
      </w:r>
    </w:p>
    <w:bookmarkEnd w:id="41"/>
    <w:bookmarkStart w:id="42" w:name="feature-importance-with-shap"/>
    <w:p>
      <w:pPr>
        <w:pStyle w:val="Heading4"/>
      </w:pPr>
      <w:r>
        <w:t xml:space="preserve">Feature importance with SHAP</w:t>
      </w:r>
    </w:p>
    <w:p>
      <w:pPr>
        <w:pStyle w:val="FirstParagraph"/>
      </w:pPr>
      <w:r>
        <w:t xml:space="preserve">We computed Shapley Values [CITE lundbergUnifiedApproachInterpreting2017] 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for the best model configuration from the 10 held-out folds in the final 1X 10-fold cross-validation used to select the final model. We used the DALEX (CITE) and DALEXtra (CITE) packages 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2"/>
    <w:bookmarkEnd w:id="43"/>
    <w:bookmarkStart w:id="47" w:name="X96389d1917a5f53f5178c25a756a8869fa1f822"/>
    <w:p>
      <w:pPr>
        <w:pStyle w:val="Heading3"/>
      </w:pPr>
      <w:r>
        <w:t xml:space="preserve">AIM 2 analytic strategy: Evaluation of clinical benefit</w:t>
      </w:r>
    </w:p>
    <w:bookmarkStart w:id="44" w:name="identify-model-predicted-best-treatment"/>
    <w:p>
      <w:pPr>
        <w:pStyle w:val="Heading4"/>
      </w:pPr>
      <w:r>
        <w:t xml:space="preserve">Identify model-predicted best treatment</w:t>
      </w:r>
    </w:p>
    <w:p>
      <w:pPr>
        <w:pStyle w:val="FirstParagraph"/>
      </w:pPr>
      <w:r>
        <w:t xml:space="preserve">The preregistration for our analyses evaluating clinical benefit can be found on our OSF page (</w:t>
      </w:r>
      <w:hyperlink r:id="rId30">
        <w:r>
          <w:rPr>
            <w:rStyle w:val="Hyperlink"/>
          </w:rPr>
          <w:t xml:space="preserve">https://osf.io/qad4n/</w:t>
        </w:r>
      </w:hyperlink>
      <w:r>
        <w:t xml:space="preserve">). Using our final model (best selected model configuration fit on all data), we calculated three predictions for each participant by substituting each treatment into the model inputs. Thus, there is one prediction per person per treatment. For example, an individual may have received varenicline in the original trial. We calculated their probability of abstinence using their data, and then we calculated two additional probabilities by substituting C-NRT and nicotine patch for varenicline. These substitutions affected the probabilities through any main effect of treatment and any interactions of treatment with other features.</w:t>
      </w:r>
    </w:p>
    <w:p>
      <w:pPr>
        <w:pStyle w:val="BodyText"/>
      </w:pPr>
      <w:r>
        <w:t xml:space="preserve">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 For example, among the three calculated probabilities for an individual, their probability of abstinence may be highest when C-NRT is substituted in as their treatment. This would mean C-NRT is identified as the best treatment for that person.</w:t>
      </w:r>
    </w:p>
    <w:bookmarkEnd w:id="44"/>
    <w:bookmarkStart w:id="45" w:name="categorize-treatment-matching"/>
    <w:p>
      <w:pPr>
        <w:pStyle w:val="Heading4"/>
      </w:pPr>
      <w:r>
        <w:t xml:space="preserve">Categorize treatment</w:t>
      </w:r>
      <w:r>
        <w:t xml:space="preserve"> </w:t>
      </w:r>
      <w:r>
        <w:t xml:space="preserve">“</w:t>
      </w:r>
      <w:r>
        <w:t xml:space="preserve">matching</w:t>
      </w:r>
      <w:r>
        <w:t xml:space="preserve">”</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bookmarkEnd w:id="45"/>
    <w:bookmarkStart w:id="46"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Treatment matching was thus a between-subjects predictor and was coded as 0.5 (TRUE) vs. -0.5 (FALSE).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(base 2) to meet linearity assumptions. Thus, our model included treatment match, time, the interaction between treatment match and time, a by-subject random slope for time, and a by-subject random intercept.</w:t>
      </w:r>
    </w:p>
    <w:p>
      <w:pPr>
        <w:pStyle w:val="BodyText"/>
      </w:pPr>
      <w:r>
        <w:t xml:space="preserve">We followed a mixed-effects modeling approach using the blme package (Chung et al., 2013). Specifically, we fit a partially Bayesian generalized linear model that uses regularizing priors to force the estimated random effects variance-covariance matrices away from singularity (Chung et al., 2013).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6"/>
    <w:bookmarkEnd w:id="47"/>
    <w:bookmarkEnd w:id="48"/>
    <w:bookmarkStart w:id="56" w:name="results"/>
    <w:p>
      <w:pPr>
        <w:pStyle w:val="Heading2"/>
      </w:pPr>
      <w:r>
        <w:t xml:space="preserve">Results</w:t>
      </w:r>
    </w:p>
    <w:bookmarkStart w:id="49" w:name="sample-characteristics"/>
    <w:p>
      <w:pPr>
        <w:pStyle w:val="Heading3"/>
      </w:pPr>
      <w:r>
        <w:t xml:space="preserve">Sample characteristics</w:t>
      </w:r>
    </w:p>
    <w:p>
      <w:pPr>
        <w:pStyle w:val="FirstParagraph"/>
      </w:pPr>
      <w:r>
        <w:t xml:space="preserve">analysis sample inclusion criteria and final sample size here (full sample)</w:t>
      </w:r>
      <w:r>
        <w:t xml:space="preserve"> </w:t>
      </w:r>
      <w:r>
        <w:t xml:space="preserve">descriptive statistics on demographics and maybe some tobacco-related characteristics</w:t>
      </w:r>
      <w:r>
        <w:t xml:space="preserve"> </w:t>
      </w:r>
      <w:r>
        <w:t xml:space="preserve">tables</w:t>
      </w:r>
    </w:p>
    <w:bookmarkEnd w:id="49"/>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p>
    <w:p>
      <w:pPr>
        <w:pStyle w:val="BodyText"/>
      </w:pPr>
      <w:r>
        <w:t xml:space="preserve">The median auROC across the 30 test sets for the 4-week model was XX (IQR = XX - XX, range = XX - XX). The median auROC across the 30 test sets for the 26-week model was XX (IQR = XX - XX, range = XX - XX).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XX (4-week model) and XX (26-week model). These values represent our best estimates for the magnitude of the auROC parameter for each model. The 95% Bayesian CI for the auROCs were relatively narrow and did not contain 0.5 (chance performance) for either the 4-week model [XX - XX] or the 26-week model [XX - XX]. Figure X displays posterior probability distributions for the auROC for the models by outcome.</w:t>
      </w:r>
    </w:p>
    <w:bookmarkStart w:id="50"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XX (95% CI = [XX - XX]), yielding a probability of XX% that the 4-week model had superior performance. Figure X presents histograms of the posterior probability distributions for this model contrast.</w:t>
      </w:r>
    </w:p>
    <w:bookmarkEnd w:id="50"/>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The glmnet algorithm offers two advantages with respect to understanding variable importance. First, the algorithm performs regularization using the hyperparameter alpha. This hyperparameter penalizes model complexity by shrinking parameter estimates and/or removing unimportant variables from the model entirely. Thus, variables are retained in the model only to the degree to which their contribution to performance outweighs the cost of having an additional parameter in the model. Consequently, we can review the retained predictor variables as a metric of feature importance.</w:t>
      </w:r>
    </w:p>
    <w:p>
      <w:pPr>
        <w:pStyle w:val="BodyText"/>
      </w:pPr>
      <w:r>
        <w:t xml:space="preserve">The best 4-week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4-week model configuration and their parameter estimates.</w:t>
      </w:r>
    </w:p>
    <w:p>
      <w:pPr>
        <w:pStyle w:val="BodyText"/>
      </w:pPr>
      <w:r>
        <w:t xml:space="preserve">The best 26-week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26-week model configuration and their parameter estimates.</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category across prediction outcomes. XX, XX, and XX were also globally important across models. XX, XX, and XX were the most relatively important treatment interaction variables.</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5" w:name="clinical-benefit"/>
    <w:p>
      <w:pPr>
        <w:pStyle w:val="Heading3"/>
      </w:pPr>
      <w:r>
        <w:t xml:space="preserve">Clinical benefit</w:t>
      </w:r>
    </w:p>
    <w:p>
      <w:pPr>
        <w:pStyle w:val="FirstParagraph"/>
      </w:pPr>
      <w:r>
        <w:t xml:space="preserve">4 &amp; 26 weeks</w:t>
      </w:r>
    </w:p>
    <w:p>
      <w:pPr>
        <w:pStyle w:val="BodyText"/>
      </w:pPr>
      <w:r>
        <w:t xml:space="preserve">main effect of tx_match</w:t>
      </w:r>
    </w:p>
    <w:p>
      <w:pPr>
        <w:pStyle w:val="BodyText"/>
      </w:pPr>
      <w:r>
        <w:t xml:space="preserve">tx_match X time interaction</w:t>
      </w:r>
      <w:r>
        <w:t xml:space="preserve"> </w:t>
      </w:r>
      <w:r>
        <w:t xml:space="preserve">- follow-up simple effects if needed</w:t>
      </w:r>
    </w:p>
    <w:p>
      <w:pPr>
        <w:pStyle w:val="BodyText"/>
      </w:pPr>
      <w:r>
        <w:t xml:space="preserve">supplemental aim 2 analyses: 1/2/3 tx rank?</w:t>
      </w:r>
    </w:p>
    <w:bookmarkEnd w:id="55"/>
    <w:bookmarkEnd w:id="56"/>
    <w:bookmarkStart w:id="57" w:name="discussion"/>
    <w:p>
      <w:pPr>
        <w:pStyle w:val="Heading2"/>
      </w:pPr>
      <w:r>
        <w:t xml:space="preserve">Discussion</w:t>
      </w:r>
    </w:p>
    <w:bookmarkEnd w:id="57"/>
    <w:bookmarkStart w:id="59" w:name="references"/>
    <w:p>
      <w:pPr>
        <w:pStyle w:val="Heading2"/>
      </w:pPr>
      <w:r>
        <w:t xml:space="preserve">References</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qad4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qad4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2024-05-13T16:13:20Z</dcterms:created>
  <dcterms:modified xsi:type="dcterms:W3CDTF">2024-05-13T16:13:20Z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