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In addition to offering improved effectiveness, precision mental health approaches may be more resource-efficient. Clinical trials to develop and validate new treatments are expensive, resource-intensive, and extremely slow (CITE?). These costs may also produce a treatment that is no better than existing treatments,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grown rapidly with the ascendancy of advanced genetic methods such as genome-wide association studies and polygenic scores3,4.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diagnostic category into subgroups that can be treated differently7.</w:t>
      </w:r>
      <w:r>
        <w:t xml:space="preserve"> </w:t>
      </w:r>
    </w:p>
    <w:p>
      <w:pPr>
        <w:pStyle w:val="BodyText"/>
      </w:pPr>
      <w:r>
        <w:t xml:space="preserve">Despite these opportunities for advances, however, precision mental health research has progressed with limited success.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This idea is perhaps comparable to the shift in understanding within genetics: research has moved away from candidate gene studies to polygenic approaches that rely on small contributions from many genes (Bogdan et al., 2018).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overfitting.8,9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Treatments are rarely designed or evaluated in diverse samples, though the NIH has launched some new initiatives to improve this disparity. This push becomes somewhat irrelevant, however, when we rely exclusively on treatments developed decades ago that were effective in homogeneous samples, and we discount treatments that were less effective within the research sample but may have worked well for people with characteristics or identities not well-represented in that sample. Unfortunately, the people who we failed to include in our treatment design and validation are also those who are often disproportionately affected by these exact health conditions or face additional barriers to receive effective treatment.</w:t>
      </w:r>
    </w:p>
    <w:p>
      <w:pPr>
        <w:pStyle w:val="BodyText"/>
      </w:pPr>
      <w:r>
        <w:t xml:space="preserve">These problems have, in some ways,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might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not only inappropriate but also discriminatory.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w:t>
      </w:r>
    </w:p>
    <w:p>
      <w:pPr>
        <w:pStyle w:val="BodyText"/>
      </w:pPr>
      <w:r>
        <w:t xml:space="preserve">An additional way in which this approach can help mitigate health disparities is through access. Many of the individual difference features that could help build treatment selection models may be easily measured via self-report, and dimensionality reduction approaches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annually10-12. Although rates of smoking have declined considerably, approximately 14% of U.S. adults continue to smoke daily or near-daily10-12. Cigarette smoking rates also remain much higher in potentially vulnerable populations including: people with chronic or severe mental illness (Baker ARCP); Native American and non-Hispanic Black individuals (CDC 2007); individuals who are economically and educationally disadvantaged (CDC 2007); people with other substance use disorders (Kelly 2012); people in the criminal justice system (Cropsey Eldridge Ladner 2004; Harrison et al 2019); people experiencing homelessness (); people who are insured through Medicaid or uninsured (Jamal 2015); and individuals who identify as lesbian, gay, or bisexual (Jamal 2015).</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(CITE Baker ARCP review). A survey of almost 16000 US adults who use cigarettes showed that the most commonly used strategies by far to quit were giving up cigarettes all at once and gradually cutting back, with a much smaller proportion using evidence-based treatments (CITE Carabello 2017).</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 et al., 2013), and guidelines recommend that clinicians consider either of these two medications first given their established efficacy (Fiore et al., 2008). These medications appear to be equally (though modestly) effective: a meta-analysis demonstrated comparable effectiveness rates (Cahill et al., 2013), and the first randomized controlled trial (RCT) directly comparing varenicline and C-NRT did not find a difference between them (Baker et al., 2016).</w:t>
      </w:r>
    </w:p>
    <w:p>
      <w:pPr>
        <w:pStyle w:val="BodyText"/>
      </w:pPr>
      <w:r>
        <w:t xml:space="preserve">Typically, 6-month abstinence rates hover around 30-35% for these best smoking cessation medications combined with psychosocial counseling13,14. Treatment with an FDA-approved medication doubles the likelihood that an individual will quit successfully (Baker ARCP).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 et al., 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&amp; McClernon, 2017; J. Wang, Simons-Morton, Farhat, Farhart, &amp; Luk, 2009; Zheng, Wiebe, Cleveland, Molenaar, &amp; Harris, 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 &amp; Xi, 2018; Lieberman, 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 Lindson‐Hawley, Thomas, Fanshawe, &amp; Lancaster,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are aware enough of their own craving to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 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Gonzales and colleagues note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 et al., 2014, p. 391; Fiore et al., 2008; Tønnesen, Nørregaard, Säwe, &amp; Simonsen, 1993). Additionally, clinical research related to other psychological and psychiatric disorders has demonstrated differential treatment benefit on an individual basis (e.g., antipsychotic medications for schizophrenia; Roussidis et al., 2013),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bookmarkEnd w:id="26"/>
    <w:bookmarkEnd w:id="27"/>
    <w:bookmarkStart w:id="28" w:name="purpose"/>
    <w:p>
      <w:pPr>
        <w:pStyle w:val="Heading3"/>
      </w:pPr>
      <w:r>
        <w:t xml:space="preserve">Purpose</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For our Bayesian hierarchical generalized linear models, we followed guidelines from the tidymodels team (CITE) that we have followed in other published research from our laboratory (Wyant et al., in press).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(CTRI)21.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(CITE FIORE GUIDELIINES).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 et al., 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r>
        <w:t xml:space="preserve"> </w:t>
      </w:r>
      <w:r>
        <w:t xml:space="preserve">Participants were assessed for abstinence periodically beginning 4 week post-quit through the end of their study participation. Our</w:t>
      </w:r>
      <w:r>
        <w:t xml:space="preserve"> </w:t>
      </w:r>
      <w:r>
        <w:rPr>
          <w:iCs/>
          <w:i/>
        </w:rPr>
        <w:t xml:space="preserve">primary prediction outcome</w:t>
      </w:r>
      <w:r>
        <w:t xml:space="preserve"> </w:t>
      </w:r>
      <w:r>
        <w:t xml:space="preserve">for our models was point-prevalence abstinence at 4 weeks post-quit.</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(CITE kuhn feature engineering).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Cs/>
          <w:i/>
        </w:rPr>
        <w:t xml:space="preserve">p</w:t>
      </w:r>
      <w:r>
        <w:t xml:space="preserve"> </w:t>
      </w:r>
      <w:r>
        <w:t xml:space="preserve">to</w:t>
      </w:r>
      <w:r>
        <w:t xml:space="preserve"> </w:t>
      </w:r>
      <w:r>
        <w:rPr>
          <w:iCs/>
          <w:i/>
        </w:rPr>
        <w:t xml:space="preserve">n</w:t>
      </w:r>
      <w:r>
        <w:t xml:space="preserve"> </w:t>
      </w:r>
      <w:r>
        <w:t xml:space="preserve">ratio</w:t>
      </w:r>
      <w:r>
        <w:t xml:space="preserve">”</w:t>
      </w:r>
      <w:r>
        <w:t xml:space="preserve">). Models were</w:t>
      </w:r>
      <w:r>
        <w:t xml:space="preserve"> </w:t>
      </w:r>
      <w:r>
        <w:rPr>
          <w:iCs/>
          <w:i/>
        </w:rPr>
        <w:t xml:space="preserve">p</w:t>
      </w:r>
      <w:r>
        <w:t xml:space="preserve"> </w:t>
      </w:r>
      <w:r>
        <w:t xml:space="preserve">&gt;</w:t>
      </w:r>
      <w:r>
        <w:t xml:space="preserve"> </w:t>
      </w:r>
      <w:r>
        <w:rPr>
          <w:iCs/>
          <w:i/>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multiple interactions that each account for a small portion of variance.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[CITE kuhnAppliedPredictiveModeling2018].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We used nested cross-validation for model training, selection, and evaluation with auROC. Cross-validation allows for rigorous consideration of many model configurations (i.e., combinations of feature sets, statistical algorithms, resampling techniques, and hyperparameters) and prioritizes performance in new data not used for model training.</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 CITE jonathanUseCrossvalidationAssess2000].</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 We report median auROC for our best model configurations for each model (4-week and 26-week) in the test sets. For completeness, we also report auROCs for these models from the validation sets in the Supplement. In addition, we report other key performance metrics for the best full model configurations including sensitivity, specificity, balanced accuracy, positive predictive value (PPV), and negative predictive value (NPV) from the test sets [CITE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Cs/>
          <w:i/>
        </w:rPr>
        <w:t xml:space="preserve">only</w:t>
      </w:r>
      <w:r>
        <w:t xml:space="preserve"> </w:t>
      </w:r>
      <w:r>
        <w:t xml:space="preserve">for selection and not evaluation in this phase. We fit our final model using this best model configuration in the full dataset, which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that the 4-week model outperformed the 26-week model, we regressed the auROCs (logit transformed) from the 30 test sets for each model as a function of outcome (4-week vs. 26-week). Following recommendations from the tidymodels team [CITE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[CITE kuhnTidyposteriorBayesianAnalysis2022] and rstanarm [CITE goodrichRstanarmBayesianApplied2023] packages in R. Following recommendations from the rstanarm team and others [CITE rstudioteamRStudioIntegratedDevelopment2020; CITE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[CITE lundbergUnifiedApproachInterpreting2017] 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for the best model configuration from the 10 held-out folds in the final 1X 10-fold cross-validation used to select the final model. We used the DALEX (CITE) and DALEXtra (CITE) packages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bookmarkStart w:id="44" w:name="identify-model-predicted-best-treatment"/>
    <w:p>
      <w:pPr>
        <w:pStyle w:val="Heading4"/>
      </w:pPr>
      <w:r>
        <w:t xml:space="preserve">Identify model-predicted best treatment</w:t>
      </w:r>
    </w:p>
    <w:p>
      <w:pPr>
        <w:pStyle w:val="FirstParagraph"/>
      </w:pPr>
      <w:r>
        <w:t xml:space="preserve">The preregistration for our analyses evaluating clinical benefit can be found on our OSF page (</w:t>
      </w:r>
      <w:hyperlink r:id="rId30">
        <w:r>
          <w:rPr>
            <w:rStyle w:val="Hyperlink"/>
          </w:rPr>
          <w:t xml:space="preserve">https://osf.io/qad4n/</w:t>
        </w:r>
      </w:hyperlink>
      <w:r>
        <w:t xml:space="preserve">). Using our final model (best selected model configuration fit on all data), we calculated three predictions for each participant by substituting each treatment into the model inputs. Thus, there is one prediction per person per treatment. For example, an individual may have received varenicline in the original trial. We calculated their probability of abstinence using their data, and then we calculated two additional probabilities by substituting C-NRT and nicotine patch for varenicline. These substitutions affected the probabilities through any main effect of treatment and any interactions of treatment with other features.</w:t>
      </w:r>
    </w:p>
    <w:p>
      <w:pPr>
        <w:pStyle w:val="BodyText"/>
      </w:pPr>
      <w:r>
        <w:t xml:space="preserve">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 For example, among the three calculated probabilities for an individual, their probability of abstinence may be highest when C-NRT is substituted in as their treatment. This would mean C-NRT is identified as the best treatment for that person.</w:t>
      </w:r>
    </w:p>
    <w:bookmarkEnd w:id="44"/>
    <w:bookmarkStart w:id="45" w:name="categorize-treatment-matching"/>
    <w:p>
      <w:pPr>
        <w:pStyle w:val="Heading4"/>
      </w:pPr>
      <w:r>
        <w:t xml:space="preserve">Categorize treatment</w:t>
      </w:r>
      <w:r>
        <w:t xml:space="preserve"> </w:t>
      </w:r>
      <w:r>
        <w:t xml:space="preserve">“</w:t>
      </w:r>
      <w:r>
        <w:t xml:space="preserve">matching</w:t>
      </w:r>
      <w:r>
        <w:t xml:space="preserve">”</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Treatment matching was thus a between-subjects predictor and was coded as 0.5 (TRUE) vs. -0.5 (FALSE).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(base 2) to meet linearity assumptions. Thus, our model included treatment match, time, the interaction between treatment match and time, a by-subject random slope for time, and a by-subject random intercept.</w:t>
      </w:r>
    </w:p>
    <w:p>
      <w:pPr>
        <w:pStyle w:val="BodyText"/>
      </w:pPr>
      <w:r>
        <w:t xml:space="preserve">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6"/>
    <w:bookmarkEnd w:id="47"/>
    <w:bookmarkEnd w:id="48"/>
    <w:bookmarkStart w:id="56" w:name="results"/>
    <w:p>
      <w:pPr>
        <w:pStyle w:val="Heading2"/>
      </w:pPr>
      <w:r>
        <w:t xml:space="preserve">Results</w:t>
      </w:r>
    </w:p>
    <w:bookmarkStart w:id="49" w:name="sample-characteristics"/>
    <w:p>
      <w:pPr>
        <w:pStyle w:val="Heading3"/>
      </w:pPr>
      <w:r>
        <w:t xml:space="preserve">Sample characteristics</w:t>
      </w:r>
    </w:p>
    <w:p>
      <w:pPr>
        <w:pStyle w:val="FirstParagraph"/>
      </w:pPr>
      <w:r>
        <w:t xml:space="preserve">analysis sample inclusion criteria and final sample size here (full sample)</w:t>
      </w:r>
      <w:r>
        <w:t xml:space="preserve"> </w:t>
      </w:r>
      <w:r>
        <w:t xml:space="preserve">descriptive statistics on demographics and maybe some tobacco-related characteristics</w:t>
      </w:r>
      <w:r>
        <w:t xml:space="preserve"> </w:t>
      </w: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p>
    <w:p>
      <w:pPr>
        <w:pStyle w:val="BodyText"/>
      </w:pPr>
      <w:r>
        <w:t xml:space="preserve">The median auROC across the 30 test sets for the 4-week model was XX (IQR = XX - XX, range = XX - XX). The median auROC across the 30 test sets for the 26-week model was XX (IQR = XX - XX, range = XX - XX).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XX (4-week model) and XX (26-week model). These values represent our best estimates for the magnitude of the auROC parameter for each model. The 95% Bayesian CI for the auROCs were relatively narrow and did not contain 0.5 (chance performance) for either the 4-week model [XX - XX] or the 26-week model [XX - XX].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XX (95% CI = [XX - XX]), yielding a probability of XX% that the 4-week model had superior performance. Figure X presents histograms of the posterior probability distributions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the algorithm performs regularization using the hyperparameter alpha. This hyperparameter penalizes model complexity by shrinking parameter estimates and/or removing unimportant variables from the model entirely. Thus, variables are retained in the model only to the degree to which their contribution to performance outweighs the cost of having an additional parameter in the model. Consequently, we can review the retained predictor variables as a metric of feature importance.</w:t>
      </w:r>
    </w:p>
    <w:p>
      <w:pPr>
        <w:pStyle w:val="BodyText"/>
      </w:pPr>
      <w:r>
        <w:t xml:space="preserve">The best 4-week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4-week model configuration and their parameter estimates.</w:t>
      </w:r>
    </w:p>
    <w:p>
      <w:pPr>
        <w:pStyle w:val="BodyText"/>
      </w:pPr>
      <w:r>
        <w:t xml:space="preserve">The best 26-week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26-week model configuration and their parameter estimates.</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category across prediction outcomes. XX, XX, and XX were also globally important across models. XX, XX, and XX were the most relatively important treatment interaction variables.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4 &amp; 26 weeks</w:t>
      </w:r>
    </w:p>
    <w:p>
      <w:pPr>
        <w:pStyle w:val="BodyText"/>
      </w:pPr>
      <w:r>
        <w:t xml:space="preserve">main effect of tx_match</w:t>
      </w:r>
    </w:p>
    <w:p>
      <w:pPr>
        <w:pStyle w:val="BodyText"/>
      </w:pPr>
      <w:r>
        <w:t xml:space="preserve">tx_match X time interaction</w:t>
      </w:r>
      <w:r>
        <w:t xml:space="preserve"> </w:t>
      </w:r>
      <w:r>
        <w:t xml:space="preserve">- follow-up simple effects if needed</w:t>
      </w:r>
    </w:p>
    <w:p>
      <w:pPr>
        <w:pStyle w:val="BodyText"/>
      </w:pPr>
      <w:r>
        <w:t xml:space="preserve">supplemental aim 2 analyses: 1/2/3 tx rank?</w:t>
      </w:r>
    </w:p>
    <w:bookmarkEnd w:id="55"/>
    <w:bookmarkEnd w:id="56"/>
    <w:bookmarkStart w:id="57" w:name="discussion"/>
    <w:p>
      <w:pPr>
        <w:pStyle w:val="Heading2"/>
      </w:pPr>
      <w:r>
        <w:t xml:space="preserve">Discussion</w:t>
      </w:r>
    </w:p>
    <w:bookmarkEnd w:id="57"/>
    <w:bookmarkStart w:id="59" w:name="references"/>
    <w:p>
      <w:pPr>
        <w:pStyle w:val="Heading2"/>
      </w:pPr>
      <w:r>
        <w:t xml:space="preserve">References</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2024-05-13T15:42:26Z</dcterms:created>
  <dcterms:modified xsi:type="dcterms:W3CDTF">2024-05-13T15:42:26Z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