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72.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Kendra</w:t>
      </w:r>
      <w:r>
        <w:t xml:space="preserve"> </w:t>
      </w:r>
      <w:r>
        <w:t xml:space="preserve">Wyant</w:t>
      </w:r>
    </w:p>
    <w:p>
      <w:pPr>
        <w:pStyle w:val="Author"/>
      </w:pPr>
      <w:r>
        <w:t xml:space="preserve">Megan</w:t>
      </w:r>
      <w:r>
        <w:t xml:space="preserve"> </w:t>
      </w:r>
      <w:r>
        <w:t xml:space="preserve">E</w:t>
      </w:r>
      <w:r>
        <w:t xml:space="preserve"> </w:t>
      </w:r>
      <w:r>
        <w:t xml:space="preserve">Piper</w:t>
      </w:r>
    </w:p>
    <w:p>
      <w:pPr>
        <w:pStyle w:val="Author"/>
      </w:pPr>
      <w:r>
        <w:t xml:space="preserve">Timothy</w:t>
      </w:r>
      <w:r>
        <w:t xml:space="preserve"> </w:t>
      </w:r>
      <w:r>
        <w:t xml:space="preserve">Baker</w:t>
      </w:r>
    </w:p>
    <w:p>
      <w:pPr>
        <w:pStyle w:val="Author"/>
      </w:pPr>
      <w:r>
        <w:t xml:space="preserve">John</w:t>
      </w:r>
      <w:r>
        <w:t xml:space="preserve"> </w:t>
      </w:r>
      <w:r>
        <w:t xml:space="preserve">J.</w:t>
      </w:r>
      <w:r>
        <w:t xml:space="preserve"> </w:t>
      </w:r>
      <w:r>
        <w:t xml:space="preserve">Curtin</w:t>
      </w:r>
    </w:p>
    <w:p>
      <w:pPr>
        <w:pStyle w:val="Date"/>
      </w:pPr>
      <w:r>
        <w:t xml:space="preserve">2025-01-16</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treatment</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were</w:t>
      </w:r>
      <w:r>
        <w:t xml:space="preserve"> </w:t>
      </w:r>
      <w:r>
        <w:t xml:space="preserve">matched</w:t>
      </w:r>
      <w:r>
        <w:t xml:space="preserve"> </w:t>
      </w:r>
      <w:r>
        <w:t xml:space="preserve">to</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at</w:t>
      </w:r>
      <w:r>
        <w:t xml:space="preserve"> </w:t>
      </w:r>
      <w:r>
        <w:t xml:space="preserve">4</w:t>
      </w:r>
      <w:r>
        <w:t xml:space="preserve"> </w:t>
      </w:r>
      <w:r>
        <w:t xml:space="preserve">weeks</w:t>
      </w:r>
      <w:r>
        <w:t xml:space="preserve"> </w:t>
      </w:r>
      <w:r>
        <w:t xml:space="preserve">than</w:t>
      </w:r>
      <w:r>
        <w:t xml:space="preserve"> </w:t>
      </w:r>
      <w:r>
        <w:t xml:space="preserve">individuals</w:t>
      </w:r>
      <w:r>
        <w:t xml:space="preserve"> </w:t>
      </w:r>
      <w:r>
        <w:t xml:space="preserve">who</w:t>
      </w:r>
      <w:r>
        <w:t xml:space="preserve"> </w:t>
      </w:r>
      <w:r>
        <w:t xml:space="preserve">were</w:t>
      </w:r>
      <w:r>
        <w:t xml:space="preserve"> </w:t>
      </w:r>
      <w:r>
        <w:t xml:space="preserve">not</w:t>
      </w:r>
      <w:r>
        <w:t xml:space="preserve"> </w:t>
      </w:r>
      <w:r>
        <w:t xml:space="preserve">(OR</w:t>
      </w:r>
      <w:r>
        <w:t xml:space="preserve"> </w:t>
      </w:r>
      <w:r>
        <w:t xml:space="preserve">=</w:t>
      </w:r>
      <w:r>
        <w:t xml:space="preserve"> </w:t>
      </w:r>
      <w:r>
        <w:t xml:space="preserve">1.382,</w:t>
      </w:r>
      <w:r>
        <w:t xml:space="preserve"> </w:t>
      </w:r>
      <w:r>
        <w:t xml:space="preserve">p</w:t>
      </w:r>
      <w:r>
        <w:t xml:space="preserve"> </w:t>
      </w:r>
      <w:r>
        <w:t xml:space="preserve">=</w:t>
      </w:r>
      <w:r>
        <w:t xml:space="preserve"> </w:t>
      </w:r>
      <w:r>
        <w:t xml:space="preserve">0.014)</w:t>
      </w:r>
      <w:r>
        <w:t xml:space="preserve"> </w:t>
      </w:r>
      <w:r>
        <w:t xml:space="preserve">but</w:t>
      </w:r>
      <w:r>
        <w:t xml:space="preserve"> </w:t>
      </w:r>
      <w:r>
        <w:t xml:space="preserve">not</w:t>
      </w:r>
      <w:r>
        <w:t xml:space="preserve"> </w:t>
      </w:r>
      <w:r>
        <w:t xml:space="preserve">at</w:t>
      </w:r>
      <w:r>
        <w:t xml:space="preserve"> </w:t>
      </w:r>
      <w:r>
        <w:t xml:space="preserve">later</w:t>
      </w:r>
      <w:r>
        <w:t xml:space="preserve"> </w:t>
      </w:r>
      <w:r>
        <w:t xml:space="preserve">timepoints.</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4" w:name="introduction"/>
    <w:p>
      <w:pPr>
        <w:pStyle w:val="Heading2"/>
      </w:pPr>
      <w:r>
        <w:t xml:space="preserve">Introduction</w:t>
      </w:r>
    </w:p>
    <w:p>
      <w:pPr>
        <w:pStyle w:val="FirstParagraph"/>
      </w:pPr>
      <w:r>
        <w:t xml:space="preserve">Precision medicine seeks to guide and personalize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 Bickman 2020)</w:t>
      </w:r>
      <w:r>
        <w:t xml:space="preserve">. Precision mental health models may allow us to select among these treatments to improve mental healthcare. Treatments for mental health conditions are usually no more than moderately effective, and many treatments for the same disorder can be quite comparable</w:t>
      </w:r>
      <w:r>
        <w:t xml:space="preserve"> </w:t>
      </w:r>
      <w:r>
        <w:t xml:space="preserve">(Lewis et al. 2020; Weisz et al. 2019; Adjei and Ali 2022)</w:t>
      </w:r>
      <w:r>
        <w:t xml:space="preserve">. Consequently, many researchers have pursued precision mental health in recent years</w:t>
      </w:r>
      <w:r>
        <w:t xml:space="preserve"> </w:t>
      </w:r>
      <w:r>
        <w:t xml:space="preserve">(DeRubeis 2019)</w:t>
      </w:r>
      <w:r>
        <w:t xml:space="preserve">.</w:t>
      </w:r>
    </w:p>
    <w:p>
      <w:pPr>
        <w:pStyle w:val="BodyText"/>
      </w:pPr>
      <w:r>
        <w:t xml:space="preserve">Despite the abundance of research, much less progress has been made to personalize treatments for mental health disorders compared to treatments for medical disorders</w:t>
      </w:r>
      <w:r>
        <w:t xml:space="preserve"> </w:t>
      </w:r>
      <w:r>
        <w:t xml:space="preserve">(Bickman, Lyon, and Wolpert 2016; Bickman 2020; Kranzler et al. 2017; Oliver and McClernon 2017; Kessler and Luedtke 2021)</w:t>
      </w:r>
      <w:r>
        <w:t xml:space="preserve">. One possible reason for this is that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Precision mental health efforts so far, however, have largely focused on personalizing treatments using only a single feature</w:t>
      </w:r>
      <w:r>
        <w:t xml:space="preserve"> </w:t>
      </w:r>
      <w:r>
        <w:t xml:space="preserve">(DeRubeis 2019)</w:t>
      </w:r>
      <w:r>
        <w:t xml:space="preserve">. It is perhaps unsurprising that models that consider only one or a small handful of features - which also limits considering features from different categories concurrently - have failed to capture the real-world complexity underlying clinical phenomena like treatment success.</w:t>
      </w:r>
    </w:p>
    <w:p>
      <w:pPr>
        <w:pStyle w:val="BodyText"/>
      </w:pPr>
      <w:r>
        <w:t xml:space="preserve">Additionally, because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rarely generalize well to new patients.</w:t>
      </w:r>
    </w:p>
    <w:p>
      <w:pPr>
        <w:pStyle w:val="BodyText"/>
      </w:pPr>
      <w:r>
        <w:t xml:space="preserve">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Machine learning may be able to advance precision mental health goals</w:t>
      </w:r>
      <w:r>
        <w:t xml:space="preserve"> </w:t>
      </w:r>
      <w:r>
        <w:t xml:space="preserve">(Bickman, Lyon, and Wolpert 2016; Dwyer, Falkai, and Koutsouleris 2018; MacEachern and Forkert 2021; Mooney and Pejaver 2018)</w:t>
      </w:r>
      <w:r>
        <w:t xml:space="preserve">. These models use statistical algorithms trained on high-dimensional arrays (hundreds or even thousands) of features</w:t>
      </w:r>
      <w:r>
        <w:t xml:space="preserve"> </w:t>
      </w:r>
      <w:r>
        <w:t xml:space="preserve">(James et al. 2013; Kuhn and Johnson 2018; Ng 2018)</w:t>
      </w:r>
      <w:r>
        <w:t xml:space="preserve">. Machine learning uses various techniques (e.g., regularization, hyperparameter tuning, simultaneous consideration of many model configurations) within resampling methods such as cross-validation to accommodate high-dimensional sets of features while reducing overfitting</w:t>
      </w:r>
      <w:r>
        <w:t xml:space="preserve"> </w:t>
      </w:r>
      <w:r>
        <w:t xml:space="preserve">(James et al. 2013; Kuhn and Johnson 2018; Ng 2018; Mooney and Pejaver 2018; Krstajic et al. 2014; Jonathan, Krzanowski, and McCarthy 2000)</w:t>
      </w:r>
      <w:r>
        <w:t xml:space="preserve">. Thus, we can build precision mental health models that capture complex clinical phenomena and generalize accurately to new data.</w:t>
      </w:r>
    </w:p>
    <w:bookmarkEnd w:id="20"/>
    <w:bookmarkStart w:id="23" w:name="X710190bb6557026560d2a85fd9e9b06af0a1413"/>
    <w:p>
      <w:pPr>
        <w:pStyle w:val="Heading3"/>
      </w:pPr>
      <w:r>
        <w:t xml:space="preserve">Cigarette smoking as a critical precision mental health target</w:t>
      </w:r>
    </w:p>
    <w:p>
      <w:pPr>
        <w:pStyle w:val="FirstParagraph"/>
      </w:pPr>
      <w:r>
        <w:t xml:space="preserve">Combining precision mental health and machine learning may be able to improve treatment for cigarette smoking. Smoking remains an enormous public health burden. Tobacco is the leading cause of preventable death in the U.S., accounting for more than 480,000 deaths annually</w:t>
      </w:r>
      <w:r>
        <w:t xml:space="preserve"> </w:t>
      </w:r>
      <w:r>
        <w:t xml:space="preserve">(National Center for Chronic Disease Prevention and Health Promotion (US) Office on Smoking and Health 2014; Schlam and Baker 2013; Cornelius 2020)</w:t>
      </w:r>
      <w:r>
        <w:t xml:space="preserve">. Individuals who smoke have two- to three-fold likelihood of death across causes and lose over a decade of life expectancy</w:t>
      </w:r>
      <w:r>
        <w:t xml:space="preserve"> </w:t>
      </w:r>
      <w:r>
        <w:t xml:space="preserve">(Jha Prabhat et al. 2013)</w:t>
      </w:r>
      <w:r>
        <w:t xml:space="preserve">. Although rates of smoking have declined considerably, approximately 14% of U.S. adults continue to smoke daily or near-daily</w:t>
      </w:r>
      <w:r>
        <w:t xml:space="preserve"> </w:t>
      </w:r>
      <w:r>
        <w:t xml:space="preserve">(Cornelius 2020; Substance Abuse and Mental Health Services Administration 2023)</w:t>
      </w:r>
      <w:r>
        <w:t xml:space="preserve">. Additionally, cigarette smoking rates remain much higher in potentially vulnerable populations. This includes people with chronic or severe mental illness including other substance use disorders; Native American and non-Hispanic Black individuals; individuals who are economically and educationally disadvantaged; people in the criminal legal system; people experiencing homelessness; individuals who are uninsured or insured through Medicaid; and people who identify as lesbian, gay, or bisexual</w:t>
      </w:r>
      <w:r>
        <w:t xml:space="preserve"> </w:t>
      </w:r>
      <w:r>
        <w:t xml:space="preserve">(Baker and McCarthy 2021; Jamal et al. 2015; Cornelius 2020; Kelly et al. 2012; K. Cropsey, Eldridge, and Ladner 2004; Harrison et al. 2020; Baggett, Tobey Matthew L., and Rigotti Nancy A. 2013; Soar et al. 2020)</w:t>
      </w:r>
      <w:r>
        <w:t xml:space="preserve">.</w:t>
      </w:r>
    </w:p>
    <w:p>
      <w:pPr>
        <w:pStyle w:val="BodyText"/>
      </w:pPr>
      <w:r>
        <w:t xml:space="preserve">The best available smoking cessation treatments are modestly effective. The medications varenicline and combination nicotine replacement therapy (C-NRT) are the most effective options when combined with psychosocial counseling, yielding 6-month treatment success rates of 30-35%</w:t>
      </w:r>
      <w:r>
        <w:t xml:space="preserve"> </w:t>
      </w:r>
      <w:r>
        <w:t xml:space="preserve">(Cahill et al. 2013; Schlam and Baker 2013; Rigotti et al. 2022; Fiore et al. 2008; Baker and McCarthy 2021)</w:t>
      </w:r>
      <w:r>
        <w:t xml:space="preserve">. Varenicline and C-NRT appear to be equally effective</w:t>
      </w:r>
      <w:r>
        <w:t xml:space="preserve"> </w:t>
      </w:r>
      <w:r>
        <w:t xml:space="preserve">(Cahill et al. 2013; Baker et al. 2016)</w:t>
      </w:r>
      <w:r>
        <w:t xml:space="preserve">.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w:t>
      </w:r>
      <w:r>
        <w:t xml:space="preserve"> </w:t>
      </w:r>
      <w:r>
        <w:t xml:space="preserve">These facts suggest a critical need for precision mental health approaches in the cigarette smoking domain.</w:t>
      </w:r>
    </w:p>
    <w:bookmarkStart w:id="21" w:name="previous-research"/>
    <w:p>
      <w:pPr>
        <w:pStyle w:val="Heading4"/>
      </w:pPr>
      <w:r>
        <w:t xml:space="preserve">Previous research</w:t>
      </w:r>
    </w:p>
    <w:p>
      <w:pPr>
        <w:pStyle w:val="FirstParagraph"/>
      </w:pPr>
      <w:r>
        <w:t xml:space="preserve">To select among treatments for smoking cessation, precision mental health models must include</w:t>
      </w:r>
      <w:r>
        <w:t xml:space="preserve"> </w:t>
      </w:r>
      <w:r>
        <w:rPr>
          <w:i/>
          <w:iCs/>
        </w:rPr>
        <w:t xml:space="preserve">many features</w:t>
      </w:r>
      <w:r>
        <w:t xml:space="preserve"> </w:t>
      </w:r>
      <w:r>
        <w:t xml:space="preserve">and</w:t>
      </w:r>
      <w:r>
        <w:t xml:space="preserve"> </w:t>
      </w:r>
      <w:r>
        <w:rPr>
          <w:i/>
          <w:iCs/>
        </w:rPr>
        <w:t xml:space="preserve">multiple treatments</w:t>
      </w:r>
      <w:r>
        <w:t xml:space="preserve"> </w:t>
      </w:r>
      <w:r>
        <w:t xml:space="preserve">as inputs. Using a high-dimensional array of features is necessary to predict a complex clinical outcome like treatment success. Including multiple treatments allows for interactions among treatments and features that are needed to make differential predictions by treatment.</w:t>
      </w:r>
    </w:p>
    <w:p>
      <w:pPr>
        <w:pStyle w:val="BodyText"/>
      </w:pPr>
      <w:r>
        <w:t xml:space="preserve">There is a large body of research identifying features that predict overall treatment success (i.e., irrespective of treatment)</w:t>
      </w:r>
      <w:r>
        <w:t xml:space="preserve"> </w:t>
      </w:r>
      <w:r>
        <w:t xml:space="preserve">(Lai et al. 2021; Kaufmann et al. 2015; Kaye et al. 2020; Piper, Schlam, et al. 2017; Issabakhsh et al. 2023; Etter, Vera Cruz, and Khazaal 2023)</w:t>
      </w:r>
      <w:r>
        <w:t xml:space="preserve"> </w:t>
      </w:r>
      <w:r>
        <w:t xml:space="preserve">or treatment success when using a single treatment</w:t>
      </w:r>
      <w:r>
        <w:t xml:space="preserve"> </w:t>
      </w:r>
      <w:r>
        <w:t xml:space="preserve">(Massago et al. 2024; Coughlin et al. 2020)</w:t>
      </w:r>
      <w:r>
        <w:t xml:space="preserve">. However, these models that do not include multiple treatments do not offer an actionable way forward to select among treatment options. Even research that shows who might succeed within a specific treatment has limited utility for treatment selection: what does this mean for a patient who is not predicted to succeed using that treatment?</w:t>
      </w:r>
    </w:p>
    <w:p>
      <w:pPr>
        <w:pStyle w:val="BodyText"/>
      </w:pPr>
      <w:r>
        <w:t xml:space="preserve">Some research has begun to build models that consider multiple treatments simultaneously</w:t>
      </w:r>
      <w:r>
        <w:t xml:space="preserve"> </w:t>
      </w:r>
      <w:r>
        <w:t xml:space="preserve">(Chen et al. 2020; Shahab et al. 2019; Schnoll et al. 2009; Glatard et al. 2017; Chenoweth et al. 2016; Lerman et al. 2015; Siegel et al. 2020; Kaye et al. 2020; Piper et al. 2016; Piper, Cook, et al. 2017; Piper, Schlam, et al. 2017)</w:t>
      </w:r>
      <w:r>
        <w:t xml:space="preserve">. However, each study examined only a single feature or examined each feature in a separate model, which cannot explain sufficient variance in complex clinical outcomes.</w:t>
      </w:r>
    </w:p>
    <w:bookmarkEnd w:id="21"/>
    <w:bookmarkStart w:id="22"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 First, there is enormous heterogeneity among people who smoke cigarettes</w:t>
      </w:r>
      <w:r>
        <w:t xml:space="preserve"> </w:t>
      </w:r>
      <w:r>
        <w:t xml:space="preserve">(Oliver and McClernon 2017; Wang et al. 2009; Zheng et al. 2013)</w:t>
      </w:r>
      <w:r>
        <w:t xml:space="preserve">. Second, smoking cessation medications have distinct pharmacological mechanisms of action that may affect how helpful they are for different people</w:t>
      </w:r>
      <w:r>
        <w:t xml:space="preserve"> </w:t>
      </w:r>
      <w:r>
        <w:t xml:space="preserve">(Cahill et al. 2016; Jordan and Xi 2018; Lieberman 2004)</w:t>
      </w:r>
      <w:r>
        <w:t xml:space="preserve">. Third, the many behavioral and environmental features that have been shown to predict overall treatment success may also guide treatment selection, alone or in combination with medication mechanisms of action</w:t>
      </w:r>
      <w:r>
        <w:t xml:space="preserve"> </w:t>
      </w:r>
      <w:r>
        <w:t xml:space="preserve">(Bickel et al. 2023)</w:t>
      </w:r>
      <w:r>
        <w:t xml:space="preserve">. Finally, there is some evidence of differential effectiveness, adherence, and preference for treatments across individuals</w:t>
      </w:r>
      <w:r>
        <w:t xml:space="preserve"> </w:t>
      </w:r>
      <w:r>
        <w:t xml:space="preserve">(Heckman et al. 2017; Fiore et al. 2008; Tønnesen et al. 1993; Gonzales et al. 2014; K. L. Cropsey et al. 2017; Lindson et al. 2019)</w:t>
      </w:r>
      <w:r>
        <w:t xml:space="preserve">.</w:t>
      </w:r>
    </w:p>
    <w:bookmarkEnd w:id="22"/>
    <w:bookmarkEnd w:id="23"/>
    <w:bookmarkEnd w:id="24"/>
    <w:bookmarkStart w:id="25" w:name="purpose"/>
    <w:p>
      <w:pPr>
        <w:pStyle w:val="Heading2"/>
      </w:pPr>
      <w:r>
        <w:t xml:space="preserve">Purpose</w:t>
      </w:r>
    </w:p>
    <w:p>
      <w:pPr>
        <w:pStyle w:val="FirstParagraph"/>
      </w:pPr>
      <w:r>
        <w:t xml:space="preserve">The goal of this project was to evaluate the clinical benefit of a treatment selection model. Specifically, we assessed whether using our model to select among medications for smoking cessation can increase abstinence following quitting smoking. We also assessed whether any treatment benefit is fair such that it performs equitably across demographic groups. To increase confidence in any clinical benefit we observed, we also evaluated model performance (i.e., is there predictive signal?) and interpreted our model (i.e., how does our model work?).</w:t>
      </w:r>
    </w:p>
    <w:bookmarkEnd w:id="25"/>
    <w:bookmarkStart w:id="57" w:name="methods"/>
    <w:p>
      <w:pPr>
        <w:pStyle w:val="Heading2"/>
      </w:pPr>
      <w:r>
        <w:t xml:space="preserve">Methods</w:t>
      </w:r>
    </w:p>
    <w:bookmarkStart w:id="28"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 Finally, our data and other study materials are publicly available on our</w:t>
      </w:r>
      <w:r>
        <w:t xml:space="preserve"> </w:t>
      </w:r>
      <w:hyperlink r:id="rId26">
        <w:r>
          <w:rPr>
            <w:rStyle w:val="Hyperlink"/>
          </w:rPr>
          <w:t xml:space="preserve">OSF page</w:t>
        </w:r>
      </w:hyperlink>
      <w:r>
        <w:t xml:space="preserve">, and our annotated analysis scripts and results are publicly available on our</w:t>
      </w:r>
      <w:r>
        <w:t xml:space="preserve"> </w:t>
      </w:r>
      <w:hyperlink r:id="rId27">
        <w:r>
          <w:rPr>
            <w:rStyle w:val="Hyperlink"/>
          </w:rPr>
          <w:t xml:space="preserve">study website</w:t>
        </w:r>
      </w:hyperlink>
      <w:r>
        <w:t xml:space="preserve">.</w:t>
      </w:r>
      <w:r>
        <w:t xml:space="preserve"> </w:t>
      </w:r>
    </w:p>
    <w:bookmarkEnd w:id="28"/>
    <w:bookmarkStart w:id="42"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adults who smoked cigarettes daily and were looking to quit smoking were enrolled in Madison, WI, USA and Milwaukee, WI, USA. Smoking was biochemically verified. Participants were smoking approximately 17 cigarettes per day (</w:t>
      </w:r>
      <w:r>
        <w:rPr>
          <w:i/>
          <w:iCs/>
        </w:rPr>
        <w:t xml:space="preserve">M</w:t>
      </w:r>
      <w:r>
        <w:t xml:space="preserve"> </w:t>
      </w:r>
      <w:r>
        <w:t xml:space="preserve">= 17.03,</w:t>
      </w:r>
      <w:r>
        <w:t xml:space="preserve"> </w:t>
      </w:r>
      <w:r>
        <w:rPr>
          <w:i/>
          <w:iCs/>
        </w:rPr>
        <w:t xml:space="preserve">SD</w:t>
      </w:r>
      <w:r>
        <w:t xml:space="preserve"> </w:t>
      </w:r>
      <w:r>
        <w:t xml:space="preserve">= 8.31) at study enrollment. Exclusion criteria included contraindicated medical (e.g., severe hypertension) or psychiatric (e.g., severe and persistent mental illness) conditions; current use of contraindicated medications; and pregnancy or unwillingness to use contraception while taking a study medication. Participants set a quit date with study staff and were enrolled for several weeks prior to the target quit date through at least 6 months following quitting smoking.</w:t>
      </w:r>
    </w:p>
    <w:bookmarkStart w:id="29"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For varenicline, participants began medication use prior to their quit attempt, starting with 0.5 mg once daily for 3 days, followed by 0.5 mg twice daily for 4 days. On the target quit date, participants increased to 1 mg twice daily and continued this dose for 12 weeks except in response to adverse events. For C-NRT or nicotine patch, participants initiated treatment on their quit date. Patch dosing was 8 weeks of 21 mg, 2 weeks of 14 mg, and 2 weeks of 7 mg. All individuals who received C-NRT were also instructed to use at least 5 lozenges per day (2 or 4 mg nicotine lozenges determined by time to first daily cigarette) for the full 12 weeks except in the case of adverse effects.</w:t>
      </w:r>
    </w:p>
    <w:p>
      <w:pPr>
        <w:pStyle w:val="BodyText"/>
      </w:pPr>
      <w:r>
        <w:t xml:space="preserve">All participants also received counseling per clinical guidelines</w:t>
      </w:r>
      <w:r>
        <w:t xml:space="preserve"> </w:t>
      </w:r>
      <w:r>
        <w:t xml:space="preserve">(Fiore et al. 2008)</w:t>
      </w:r>
      <w:r>
        <w:t xml:space="preserve">. Participants received 5 in-person counseling sessions (pre-quit, quit day, week 1, week 4, week 12) and 1 phone counseling session (week 8). Counseling consisted of motivational interviewing/enhancement, supportive therapy, and skill training.</w:t>
      </w:r>
    </w:p>
    <w:bookmarkEnd w:id="29"/>
    <w:bookmarkStart w:id="40"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0"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ayout w:type="fixed"/>
              <w:tblLook w:firstRow="1" w:lastRow="0" w:firstColumn="0" w:lastColumn="0" w:noHBand="0" w:noVBand="0" w:val="0020"/>
            </w:tblPr>
            <w:tblGrid>
              <w:gridCol w:w="2813"/>
              <w:gridCol w:w="1563"/>
              <w:gridCol w:w="2396"/>
              <w:gridCol w:w="937"/>
            </w:tblGrid>
            <w:tr>
              <w:trPr>
                <w:tblHeader w:val="on"/>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2" w:name="featurespdf2"/>
    <w:tbl>
      <w:tblPr>
        <w:tblStyle w:val="Table"/>
        <w:tblW w:type="pct" w:w="4911"/>
        <w:tblLayout w:type="fixed"/>
        <w:tblLook w:firstRow="1" w:lastRow="0" w:firstColumn="0" w:lastColumn="0" w:noHBand="0" w:noVBand="0" w:val="0020"/>
      </w:tblPr>
      <w:tblGrid>
        <w:gridCol w:w="990"/>
        <w:gridCol w:w="4808"/>
        <w:gridCol w:w="1414"/>
        <w:gridCol w:w="565"/>
      </w:tblGrid>
      <w:tr>
        <w:trPr>
          <w:tblHeader w:val="on"/>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2"/>
    <w:p>
      <w:pPr>
        <w:pStyle w:val="BodyText"/>
      </w:pPr>
      <w:r>
        <w:rPr>
          <w:vertAlign w:val="subscript"/>
        </w:rPr>
        <w:t xml:space="preserve">Source:</w:t>
      </w:r>
      <w:r>
        <w:rPr>
          <w:vertAlign w:val="subscript"/>
        </w:rPr>
        <w:t xml:space="preserve"> </w:t>
      </w:r>
      <w:hyperlink r:id="rId33">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4" w:name="featurespdf3-1"/>
    <w:tbl>
      <w:tblPr>
        <w:tblStyle w:val="Table"/>
        <w:tblW w:type="pct" w:w="4868"/>
        <w:tblLayout w:type="fixed"/>
        <w:tblLook w:firstRow="1" w:lastRow="0" w:firstColumn="0" w:lastColumn="0" w:noHBand="0" w:noVBand="0" w:val="0020"/>
      </w:tblPr>
      <w:tblGrid>
        <w:gridCol w:w="2917"/>
        <w:gridCol w:w="2188"/>
        <w:gridCol w:w="1771"/>
        <w:gridCol w:w="833"/>
      </w:tblGrid>
      <w:tr>
        <w:trPr>
          <w:tblHeader w:val="on"/>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4"/>
    <w:bookmarkStart w:id="35" w:name="featurespdf3-2"/>
    <w:tbl>
      <w:tblPr>
        <w:tblStyle w:val="Table"/>
        <w:tblW w:type="pct" w:w="4880"/>
        <w:tblLayout w:type="fixed"/>
        <w:tblLook w:firstRow="1" w:lastRow="0" w:firstColumn="0" w:lastColumn="0" w:noHBand="0" w:noVBand="0" w:val="0020"/>
      </w:tblPr>
      <w:tblGrid>
        <w:gridCol w:w="1717"/>
        <w:gridCol w:w="3912"/>
        <w:gridCol w:w="1335"/>
        <w:gridCol w:w="763"/>
      </w:tblGrid>
      <w:tr>
        <w:trPr>
          <w:tblHeader w:val="on"/>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4-1"/>
    <w:tbl>
      <w:tblPr>
        <w:tblStyle w:val="Table"/>
        <w:tblW w:type="pct" w:w="4889"/>
        <w:tblLayout w:type="fixed"/>
        <w:tblLook w:firstRow="1" w:lastRow="0" w:firstColumn="0" w:lastColumn="0" w:noHBand="0" w:noVBand="0" w:val="0020"/>
      </w:tblPr>
      <w:tblGrid>
        <w:gridCol w:w="1056"/>
        <w:gridCol w:w="4136"/>
        <w:gridCol w:w="1848"/>
        <w:gridCol w:w="704"/>
      </w:tblGrid>
      <w:tr>
        <w:trPr>
          <w:tblHeader w:val="on"/>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7"/>
    <w:bookmarkStart w:id="38" w:name="featurespdf4-2"/>
    <w:tbl>
      <w:tblPr>
        <w:tblStyle w:val="Table"/>
        <w:tblW w:type="pct" w:w="4868"/>
        <w:tblLayout w:type="fixed"/>
        <w:tblLook w:firstRow="1" w:lastRow="0" w:firstColumn="0" w:lastColumn="0" w:noHBand="0" w:noVBand="0" w:val="0020"/>
      </w:tblPr>
      <w:tblGrid>
        <w:gridCol w:w="2396"/>
        <w:gridCol w:w="1875"/>
        <w:gridCol w:w="2501"/>
        <w:gridCol w:w="937"/>
      </w:tblGrid>
      <w:tr>
        <w:trPr>
          <w:tblHeader w:val="on"/>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bookmarkEnd w:id="40"/>
    <w:bookmarkStart w:id="41" w:name="treatment-success-outcome"/>
    <w:p>
      <w:pPr>
        <w:pStyle w:val="Heading4"/>
      </w:pPr>
      <w:r>
        <w:t xml:space="preserve">Treatment success outcome</w:t>
      </w:r>
    </w:p>
    <w:p>
      <w:pPr>
        <w:pStyle w:val="FirstParagraph"/>
      </w:pPr>
      <w:r>
        <w:t xml:space="preserve">Throughout study participation, treatment success was repeatedly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bookmarkEnd w:id="41"/>
    <w:bookmarkEnd w:id="42"/>
    <w:bookmarkStart w:id="47" w:name="evaluating-clinical-benefit"/>
    <w:p>
      <w:pPr>
        <w:pStyle w:val="Heading3"/>
      </w:pPr>
      <w:r>
        <w:t xml:space="preserve">Evaluating clinical benefit</w:t>
      </w:r>
    </w:p>
    <w:p>
      <w:pPr>
        <w:pStyle w:val="FirstParagraph"/>
      </w:pPr>
      <w:r>
        <w:t xml:space="preserve">The primary purpose of this project was to evaluate the clinical benefit of our treatment selection model. In other words, we determined whether using a model to select treatments for individual patients improves clinical outcomes. Details on fitting, selecting, and evaluating model performance of the treatment selection model appear in</w:t>
      </w:r>
      <w:r>
        <w:t xml:space="preserve"> </w:t>
      </w:r>
      <w:r>
        <w:t xml:space="preserve">“</w:t>
      </w:r>
      <w:r>
        <w:t xml:space="preserve">Model building, selection, &amp; evaluation.</w:t>
      </w:r>
      <w:r>
        <w:t xml:space="preserve">”</w:t>
      </w:r>
    </w:p>
    <w:bookmarkStart w:id="43" w:name="identify-model-predicted-best-treatment"/>
    <w:p>
      <w:pPr>
        <w:pStyle w:val="Heading4"/>
      </w:pPr>
      <w:r>
        <w:t xml:space="preserve">Identify model-predicted best treatment</w:t>
      </w:r>
    </w:p>
    <w:p>
      <w:pPr>
        <w:pStyle w:val="FirstParagraph"/>
      </w:pPr>
      <w:r>
        <w:t xml:space="preserve">We used our best model configuration (i.e., combination of model characteristics; see Model Building, Selection, &amp; Evaluation) to make treatment success predictions for each participant. Models were fit with 1085 participants, and predictions were made for the remaining, held-out participant. This approach matches real-world implementation in that we made predictions for a new patient the model has not seen.</w:t>
      </w:r>
    </w:p>
    <w:p>
      <w:pPr>
        <w:pStyle w:val="BodyText"/>
      </w:pPr>
      <w:r>
        <w:t xml:space="preserve">We calculated three predicted probabilities for each participant by substituting each treatment into the model inputs. This produced one prediction per person per treatment. The treatment that yielded the highest model-predicted probability of abstinence was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we calculated two additional probabilities by substituting C-NRT and nicotine patch for varenicline. Their probability of abstinence was highest when substituting C-NRT, meaning C-NRT was identified as their best treatment.</w:t>
      </w:r>
    </w:p>
    <w:bookmarkEnd w:id="43"/>
    <w:bookmarkStart w:id="44"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could be categorized as having received</w:t>
      </w:r>
      <w:r>
        <w:t xml:space="preserve"> </w:t>
      </w:r>
      <w:r>
        <w:t xml:space="preserve">“</w:t>
      </w:r>
      <w:r>
        <w:t xml:space="preserve">best treatment</w:t>
      </w:r>
      <w:r>
        <w:t xml:space="preserve">”</w:t>
      </w:r>
      <w:r>
        <w:t xml:space="preserve"> </w:t>
      </w:r>
      <w:r>
        <w:t xml:space="preserve">or</w:t>
      </w:r>
      <w:r>
        <w:t xml:space="preserve"> </w:t>
      </w:r>
      <w:r>
        <w:t xml:space="preserve">“</w:t>
      </w:r>
      <w:r>
        <w:t xml:space="preserve">other treatment</w:t>
      </w:r>
      <w:r>
        <w:t xml:space="preserve">”</w:t>
      </w:r>
      <w:r>
        <w:t xml:space="preserve"> </w:t>
      </w:r>
      <w:r>
        <w:t xml:space="preserve">in the original trial.</w:t>
      </w:r>
    </w:p>
    <w:p>
      <w:pPr>
        <w:pStyle w:val="BodyText"/>
      </w:pPr>
      <w:r>
        <w:t xml:space="preserve">For example, the individual described above received varenicline in the original trial, but their model-predicted probability of abstinence was highest when substituting C-NRT for treatment. This participant’s best treatment did not match their trial treatment, so they were labeled as matched to</w:t>
      </w:r>
      <w:r>
        <w:t xml:space="preserve"> </w:t>
      </w:r>
      <w:r>
        <w:t xml:space="preserve">“</w:t>
      </w:r>
      <w:r>
        <w:t xml:space="preserve">other treatment.</w:t>
      </w:r>
      <w:r>
        <w:t xml:space="preserve">”</w:t>
      </w:r>
    </w:p>
    <w:bookmarkEnd w:id="44"/>
    <w:bookmarkStart w:id="45" w:name="analysis-plan"/>
    <w:p>
      <w:pPr>
        <w:pStyle w:val="Heading4"/>
      </w:pPr>
      <w:r>
        <w:t xml:space="preserve">Analysis plan</w:t>
      </w:r>
    </w:p>
    <w:p>
      <w:pPr>
        <w:pStyle w:val="FirstParagraph"/>
      </w:pPr>
      <w:r>
        <w:t xml:space="preserve">Our primary analysis evaluated the clinical benefit of our treatment selection model by comparing the observed outcomes (i.e., abstinence vs. smoking from the original trial) for people who were matched to their best treatment or to other treatment (between-subjects; 0.5 [</w:t>
      </w:r>
      <w:r>
        <w:t xml:space="preserve">“</w:t>
      </w:r>
      <w:r>
        <w:t xml:space="preserve">best treatment</w:t>
      </w:r>
      <w:r>
        <w:t xml:space="preserve">”</w:t>
      </w:r>
      <w:r>
        <w:t xml:space="preserve">] vs. -0.5 [</w:t>
      </w:r>
      <w:r>
        <w:t xml:space="preserve">“</w:t>
      </w:r>
      <w:r>
        <w:t xml:space="preserve">other treatment</w:t>
      </w:r>
      <w:r>
        <w:t xml:space="preserve">”</w:t>
      </w:r>
      <w:r>
        <w:t xml:space="preserve">]).</w:t>
      </w:r>
    </w:p>
    <w:p>
      <w:pPr>
        <w:pStyle w:val="BodyText"/>
      </w:pPr>
      <w:r>
        <w:t xml:space="preserve">We examined this effect of treatment matching on abstinence at 4, 12, and 26 weeks post-quit. Calculating and interpreting interactions in logistic models is not straightforward because significance can differ based on the link function used and whether effects are determined in probabilities, odds, or log-odds units</w:t>
      </w:r>
      <w:r>
        <w:t xml:space="preserve"> </w:t>
      </w:r>
      <w:r>
        <w:t xml:space="preserve">(Karaca-Mandic, Norton, and Dowd 2012; Collins 2018)</w:t>
      </w:r>
      <w:r>
        <w:t xml:space="preserve">. Consequently, we conducted three, separate generalized logistic regression models where we regressed the outcome (abstinent vs. smoking) on treatment matching. We conducted these regressions using the lme4 package in R</w:t>
      </w:r>
      <w:r>
        <w:t xml:space="preserve"> </w:t>
      </w:r>
      <w:r>
        <w:t xml:space="preserve">(Bates et al. 2015)</w:t>
      </w:r>
      <w:r>
        <w:t xml:space="preserve">. We also conducted sensitivity analyses using only participants who reported starting their medication (defined as any medication use reported during the first 4 weeks post-quit; N = 988).</w:t>
      </w:r>
    </w:p>
    <w:bookmarkEnd w:id="45"/>
    <w:bookmarkStart w:id="46" w:name="fairness-benchmarks"/>
    <w:p>
      <w:pPr>
        <w:pStyle w:val="Heading4"/>
      </w:pPr>
      <w:r>
        <w:t xml:space="preserve">Fairness benchmarks</w:t>
      </w:r>
    </w:p>
    <w:p>
      <w:pPr>
        <w:pStyle w:val="FirstParagraph"/>
      </w:pPr>
      <w:r>
        <w:t xml:space="preserve">Treatment selection models that work for only a subset of people, if implemented, could widen existing mental healthcare disparities. Consequently, we conducted fairness analyses to determine whether there was equitable clinical benefit across demographic groups. We conducted analyses separately for three dichotomized demographic groups that display higher rates of cigarette smoking and/or encounter additional barriers to receiving treatment: 1) race and ethnicity (non-Hispanic White vs. non-White); 2) income (above vs. below poverty line); and 3) sex at birth (male vs. female)</w:t>
      </w:r>
      <w:r>
        <w:t xml:space="preserve"> </w:t>
      </w:r>
      <w:r>
        <w:t xml:space="preserve">(Jamal et al. 2015; Cornelius 2020; Pinedo 2019; Olfson et al. 2022; Kilaru et al. 2020)</w:t>
      </w:r>
      <w:r>
        <w:t xml:space="preserve">.</w:t>
      </w:r>
    </w:p>
    <w:p>
      <w:pPr>
        <w:pStyle w:val="BodyText"/>
      </w:pPr>
      <w:r>
        <w:t xml:space="preserve">For any times (4, 12, or 26 weeks) for which there was a significant benefit of treatment matching, we compared the effect across demographic groups. Given the issues with interpreting interactions in logistic regression models described above, we examined only simple effects of treatment matching for each pair of demographic groups (e.g., simple effect of treatment matching for non-Hispanic White and for non-White individuals) and did not interpret</w:t>
      </w:r>
      <w:r>
        <w:t xml:space="preserve"> </w:t>
      </w:r>
      <w:r>
        <w:rPr>
          <w:i/>
          <w:iCs/>
        </w:rPr>
        <w:t xml:space="preserve">p</w:t>
      </w:r>
      <w:r>
        <w:t xml:space="preserve">-values.</w:t>
      </w:r>
    </w:p>
    <w:bookmarkEnd w:id="46"/>
    <w:bookmarkEnd w:id="47"/>
    <w:bookmarkStart w:id="55" w:name="model-building-selection-evaluation"/>
    <w:p>
      <w:pPr>
        <w:pStyle w:val="Heading3"/>
      </w:pPr>
      <w:r>
        <w:t xml:space="preserve">Model building, selection, &amp; evaluation</w:t>
      </w:r>
    </w:p>
    <w:p>
      <w:pPr>
        <w:pStyle w:val="FirstParagraph"/>
      </w:pPr>
      <w:r>
        <w:t xml:space="preserve">Data preprocessing, modeling, and Bayesian analyses were conducted in R using the tidymodels ecosystem</w:t>
      </w:r>
      <w:r>
        <w:t xml:space="preserve"> </w:t>
      </w:r>
      <w:r>
        <w:t xml:space="preserve">(Kuhn and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 Additional details about model building and evaluation appear in the Supplement.</w:t>
      </w:r>
    </w:p>
    <w:bookmarkStart w:id="48" w:name="feature-engineering"/>
    <w:p>
      <w:pPr>
        <w:pStyle w:val="Heading4"/>
      </w:pPr>
      <w:r>
        <w:t xml:space="preserve">Feature engineering</w:t>
      </w:r>
    </w:p>
    <w:p>
      <w:pPr>
        <w:pStyle w:val="FirstParagraph"/>
      </w:pPr>
      <w:r>
        <w:t xml:space="preserve">We followed standard practices for generic feature engineering steps (see Supplement). Treatment was one-hot-coded such that there were three features, one corresponding to each treatment (varenicline, C-NRT, nicotine patch). The three treatment features were allowed to interact with all other features to permit differential prediction. A sample feature engineering script (i.e., tidymodels recipe) containing all feature engineering steps is available on our OSF study page (</w:t>
      </w:r>
      <w:hyperlink r:id="rId26">
        <w:r>
          <w:rPr>
            <w:rStyle w:val="Hyperlink"/>
          </w:rPr>
          <w:t xml:space="preserve">https://osf.io/qad4n/</w:t>
        </w:r>
      </w:hyperlink>
      <w:r>
        <w:t xml:space="preserve">).</w:t>
      </w:r>
    </w:p>
    <w:bookmarkEnd w:id="48"/>
    <w:bookmarkStart w:id="49" w:name="model-configurations"/>
    <w:p>
      <w:pPr>
        <w:pStyle w:val="Heading4"/>
      </w:pPr>
      <w:r>
        <w:t xml:space="preserve">Model configurations</w:t>
      </w:r>
    </w:p>
    <w:p>
      <w:pPr>
        <w:pStyle w:val="FirstParagraph"/>
      </w:pPr>
      <w:r>
        <w:t xml:space="preserve">All model configurations used the statistical algorithm Elastic Net Logistic Regression (GLMNet) and differed across sensible values for the associated hyperparameters, alpha and lambda. This algorithm aligned with our application goals: GLMNet allows including interation terms explicitly (i.e., interactions between treatment and all other features), and it penalizes model complexity to reduce dimensionality and ultimately reduce the risk of overfitting. Model configurations differed by 1) whether feature sets included individual items within a self-report measure or total scale/sub-scale scores derived from items, and 2) whether ordered categorical data (e.g., Likert scale items) were ordinal scored or one-hot coded.</w:t>
      </w:r>
    </w:p>
    <w:bookmarkEnd w:id="49"/>
    <w:bookmarkStart w:id="51" w:name="prediction-outcome"/>
    <w:p>
      <w:pPr>
        <w:pStyle w:val="Heading4"/>
      </w:pPr>
      <w:r>
        <w:t xml:space="preserve">Prediction outcome</w:t>
      </w:r>
    </w:p>
    <w:p>
      <w:pPr>
        <w:pStyle w:val="FirstParagraph"/>
      </w:pPr>
      <w:r>
        <w:t xml:space="preserve">The model prediction outcome was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selected treatment success at 4 weeks in order to 1) predict an outcome that - in clinical practice - would allow individuals to pivot to a different medication earlier if their treatment was unsuccessful; and 2) evaluate the differential effects of treatment while participants were actively using the medications.</w:t>
      </w:r>
      <w:r>
        <w:rPr>
          <w:rStyle w:val="FootnoteReference"/>
        </w:rPr>
        <w:footnoteReference w:id="50"/>
      </w:r>
    </w:p>
    <w:bookmarkEnd w:id="51"/>
    <w:bookmarkStart w:id="52" w:name="model-selection"/>
    <w:p>
      <w:pPr>
        <w:pStyle w:val="Heading4"/>
      </w:pPr>
      <w:r>
        <w:t xml:space="preserve">Model selection</w:t>
      </w:r>
    </w:p>
    <w:p>
      <w:pPr>
        <w:pStyle w:val="FirstParagraph"/>
      </w:pPr>
      <w:r>
        <w:t xml:space="preserve">We used nested</w:t>
      </w:r>
      <w:r>
        <w:t xml:space="preserve"> </w:t>
      </w:r>
      <w:r>
        <w:rPr>
          <w:i/>
          <w:iCs/>
        </w:rPr>
        <w:t xml:space="preserve">k</w:t>
      </w:r>
      <w:r>
        <w:t xml:space="preserve">-fold cross-validation for model training, selection, and evaluation</w:t>
      </w:r>
      <w:r>
        <w:t xml:space="preserve"> </w:t>
      </w:r>
      <w:r>
        <w:t xml:space="preserve">(Krstajic et al. 2014)</w:t>
      </w:r>
      <w:r>
        <w:t xml:space="preserve">.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We used 1 repeat of 10-fold cross-validation (i.e.,</w:t>
      </w:r>
      <w:r>
        <w:t xml:space="preserve"> </w:t>
      </w:r>
      <w:r>
        <w:rPr>
          <w:i/>
          <w:iCs/>
        </w:rPr>
        <w:t xml:space="preserve">k</w:t>
      </w:r>
      <w:r>
        <w:t xml:space="preserve"> </w:t>
      </w:r>
      <w:r>
        <w:t xml:space="preserve">= 10) for the inner loops and 3 repeats of 10-fold cross-validation for the outer loop.</w:t>
      </w:r>
    </w:p>
    <w:p>
      <w:pPr>
        <w:pStyle w:val="BodyText"/>
      </w:pPr>
      <w:r>
        <w:t xml:space="preserve">Models were selected and evaluated using area under the receiver operating characteristic curve (auROC), which indexes the probability that the model will predict a higher score for a randomly selected positive case (abstinent) relative to a randomly selected negative case (smoking)</w:t>
      </w:r>
      <w:r>
        <w:t xml:space="preserve"> </w:t>
      </w:r>
      <w:r>
        <w:t xml:space="preserve">(Kuhn and Johnson 2018; Youngstrom 2014)</w:t>
      </w:r>
      <w:r>
        <w:t xml:space="preserve">. Because it was important that our model retained interaction features, we required that model configurations retain an average of 50 or more treatment interaction features</w:t>
      </w:r>
      <w:r>
        <w:t xml:space="preserve"> </w:t>
      </w:r>
      <w:r>
        <w:t xml:space="preserve">(Ng 2018)</w:t>
      </w:r>
      <w:r>
        <w:t xml:space="preserve">. Best model configurations were selected using median auROC among model configurations that retained a median of 50 treatment interaction features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w:t>
      </w:r>
    </w:p>
    <w:p>
      <w:pPr>
        <w:pStyle w:val="BodyText"/>
      </w:pPr>
      <w:r>
        <w:t xml:space="preserve">To get a single, final model configuration, we replicated our inner loop resampling (1 repeat of 10-fold cross-validation) on the full dataset. The best model configuration was selected using median auROC across the 10 held-out folds (among model configurations that retained a median of 50 treatment interaction features). This best model configuration was used to make predictions for clinical benefit evaluation (above) and feature importance analyses (see Model Interpretation). A final model was fit on the full dataset using this best configuration to obtain parameter estimates for additional interpretation (see Model Interpretation).</w:t>
      </w:r>
    </w:p>
    <w:bookmarkEnd w:id="52"/>
    <w:bookmarkStart w:id="53" w:name="model-performance-evaluation"/>
    <w:p>
      <w:pPr>
        <w:pStyle w:val="Heading4"/>
      </w:pPr>
      <w:r>
        <w:t xml:space="preserve">Model performance evaluation</w:t>
      </w:r>
    </w:p>
    <w:p>
      <w:pPr>
        <w:pStyle w:val="FirstParagraph"/>
      </w:pPr>
      <w:r>
        <w:t xml:space="preserve">We used a Bayesian hierarchical generalized linear model to estimate the posterior probability distributions and 95% Bayesian credible intervals (CIs) for test set auROC. We estimated the posterior probability distribution around model performance following recommendations from the tidymodels team</w:t>
      </w:r>
      <w:r>
        <w:t xml:space="preserve"> </w:t>
      </w:r>
      <w:r>
        <w:t xml:space="preserve">(Kuhn 2022)</w:t>
      </w:r>
      <w:r>
        <w:t xml:space="preserve">. The median posterior probability for auROC represents our best estimate for the magnitude of the auROC parameter for each model. If the credible intervals do not contain .5 (chance performance), this suggests our model is capturing signal in the data.</w:t>
      </w:r>
    </w:p>
    <w:bookmarkEnd w:id="53"/>
    <w:bookmarkStart w:id="54" w:name="model-calibration"/>
    <w:p>
      <w:pPr>
        <w:pStyle w:val="Heading4"/>
      </w:pPr>
      <w:r>
        <w:t xml:space="preserve">Model calibration</w:t>
      </w:r>
    </w:p>
    <w:p>
      <w:pPr>
        <w:pStyle w:val="FirstParagraph"/>
      </w:pPr>
      <w:r>
        <w:t xml:space="preserve">We examined the calibration of our model’s predictions by comparing model predictions to observed outcomes. Specifically, we compared the predicted probabilities for each individual for their original trial-assigned treatment against the observed trial treatment success.</w:t>
      </w:r>
    </w:p>
    <w:bookmarkEnd w:id="54"/>
    <w:bookmarkEnd w:id="55"/>
    <w:bookmarkStart w:id="56" w:name="model-interpretation"/>
    <w:p>
      <w:pPr>
        <w:pStyle w:val="Heading3"/>
      </w:pPr>
      <w:r>
        <w:t xml:space="preserve">Model interpretation</w:t>
      </w:r>
    </w:p>
    <w:p>
      <w:pPr>
        <w:pStyle w:val="FirstParagraph"/>
      </w:pPr>
      <w:r>
        <w:t xml:space="preserve">Interpretability is important when using machine learning for clinical applications to identify important features and encourage implementation</w:t>
      </w:r>
      <w:r>
        <w:t xml:space="preserve"> </w:t>
      </w:r>
      <w:r>
        <w:t xml:space="preserve">(MacEachern and Forkert 2021; Mooney and Pejaver 2018; Cohen and DeRubeis 2018)</w:t>
      </w:r>
      <w:r>
        <w:t xml:space="preserve">. We reviewed the retained features and their parameter estimates as a metric of feature importance because GLMNet only retains features whose contribution outweighs the additional complexity.</w:t>
      </w:r>
    </w:p>
    <w:p>
      <w:pPr>
        <w:pStyle w:val="BodyText"/>
      </w:pPr>
      <w:r>
        <w:t xml:space="preserve">We also computed Shapley Values</w:t>
      </w:r>
      <w:r>
        <w:t xml:space="preserve"> </w:t>
      </w:r>
      <w:r>
        <w:t xml:space="preserve">(Lundberg and Lee 2017)</w:t>
      </w:r>
      <w:r>
        <w:t xml:space="preserve"> </w:t>
      </w:r>
      <w:r>
        <w:t xml:space="preserve">to provide a consistent, objective explanation of feature importance. Shapley values were calculated for each held-out participant using a model fit with the other 1085 participants and the final, best selected model configuration.</w:t>
      </w:r>
    </w:p>
    <w:p>
      <w:pPr>
        <w:pStyle w:val="BodyText"/>
      </w:pPr>
      <w:r>
        <w:t xml:space="preserve">We used the DALEX and DALEXtra packages</w:t>
      </w:r>
      <w:r>
        <w:t xml:space="preserve"> </w:t>
      </w:r>
      <w:r>
        <w:t xml:space="preserve">(Biecek 2018)</w:t>
      </w:r>
      <w:r>
        <w:t xml:space="preserve"> </w:t>
      </w:r>
      <w:r>
        <w:t xml:space="preserve">in R, which provide local Shapley values (i.e., for each observation) in log-odds units for binary classification models. To index global feature importance, we averaged the absolute value of the local Shapley values of each feature across observations. Shapley values are additive, which allowed us to create two feature categories, Main Effects and Interactions. We calculated global importance of each feature category by averaging the absolute value of the Shapley values of all features in the category across observations. These global importance scores allowed us to contextualize relative feature importance for each feature and feature category.</w:t>
      </w:r>
    </w:p>
    <w:bookmarkEnd w:id="56"/>
    <w:bookmarkEnd w:id="57"/>
    <w:bookmarkStart w:id="84" w:name="results"/>
    <w:p>
      <w:pPr>
        <w:pStyle w:val="Heading2"/>
      </w:pPr>
      <w:r>
        <w:t xml:space="preserve">Results</w:t>
      </w:r>
    </w:p>
    <w:bookmarkStart w:id="64"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 Demographic characteristics of this sample appear in</w:t>
      </w:r>
      <w:r>
        <w:t xml:space="preserve"> </w:t>
      </w:r>
      <w:hyperlink w:anchor="tbl-demopdf">
        <w:r>
          <w:rPr>
            <w:rStyle w:val="Hyperlink"/>
          </w:rPr>
          <w:t xml:space="preserve">Table 2</w:t>
        </w:r>
      </w:hyperlink>
      <w:r>
        <w:t xml:space="preserve">. Smoking-related characteristics of this sample appear in</w:t>
      </w:r>
      <w:r>
        <w:t xml:space="preserve"> </w:t>
      </w:r>
      <w:hyperlink w:anchor="tbl-smoking-char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0" w:name="demopdf"/>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0"/>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tbl>
      <w:tblPr>
        <w:tblStyle w:val="Table"/>
        <w:tblW w:type="pct" w:w="5000"/>
        <w:tblLayout w:type="fixed"/>
        <w:tblLook w:firstRow="0" w:lastRow="0" w:firstColumn="0" w:lastColumn="0" w:noHBand="0" w:noVBand="0" w:val="0000"/>
      </w:tblPr>
      <w:tblGrid>
        <w:gridCol w:w="7920"/>
      </w:tblGrid>
      <w:tr>
        <w:tc>
          <w:tcPr/>
          <w:bookmarkStart w:id="62" w:name="tbl-smoking-chars"/>
          <w:p>
            <w:pPr>
              <w:jc w:val="center"/>
            </w:pPr>
            <w:pPr>
              <w:jc w:val="start"/>
              <w:spacing w:before="200"/>
              <w:pStyle w:val="ImageCaption"/>
            </w:pPr>
            <w:r>
              <w:t xml:space="preserve">Table 3: Smoking Use &amp; History Characteristics</w:t>
            </w:r>
          </w:p>
          <w:tbl>
            <w:tblPr>
              <w:tblStyle w:val="Table"/>
              <w:tblW w:type="pct" w:w="4867"/>
              <w:tblLayout w:type="fixed"/>
              <w:tblLook w:firstRow="1" w:lastRow="0" w:firstColumn="0" w:lastColumn="0" w:noHBand="0" w:noVBand="0" w:val="0020"/>
            </w:tblPr>
            <w:tblGrid>
              <w:gridCol w:w="4752"/>
              <w:gridCol w:w="1478"/>
              <w:gridCol w:w="1478"/>
            </w:tblGrid>
            <w:tr>
              <w:trPr>
                <w:tblHeader w:val="on"/>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1" w:name="clinical-benefit"/>
    <w:p>
      <w:pPr>
        <w:pStyle w:val="Heading3"/>
      </w:pPr>
      <w:r>
        <w:t xml:space="preserve">Clinical benefit</w:t>
      </w:r>
    </w:p>
    <w:p>
      <w:pPr>
        <w:pStyle w:val="FirstParagraph"/>
      </w:pPr>
      <w:r>
        <w:t xml:space="preserve">There was a significant effect of treatment matching on abstinence at 4 weeks (OR = 1.382,</w:t>
      </w:r>
      <w:r>
        <w:t xml:space="preserve"> </w:t>
      </w:r>
      <w:r>
        <w:rPr>
          <w:i/>
          <w:iCs/>
        </w:rPr>
        <w:t xml:space="preserve">z</w:t>
      </w:r>
      <w:r>
        <w:t xml:space="preserve"> </w:t>
      </w:r>
      <w:r>
        <w:t xml:space="preserve">= 2.452,</w:t>
      </w:r>
      <w:r>
        <w:t xml:space="preserve"> </w:t>
      </w:r>
      <w:r>
        <w:rPr>
          <w:i/>
          <w:iCs/>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
          <w:iCs/>
        </w:rPr>
        <w:t xml:space="preserve">p</w:t>
      </w:r>
      <w:r>
        <w:t xml:space="preserve"> </w:t>
      </w:r>
      <w:r>
        <w:t xml:space="preserve">= 0.232) or at the 26-week follow-up assessment (</w:t>
      </w:r>
      <w:r>
        <w:rPr>
          <w:i/>
          <w:iCs/>
        </w:rPr>
        <w:t xml:space="preserve">p</w:t>
      </w:r>
      <w:r>
        <w:t xml:space="preserve"> </w:t>
      </w:r>
      <w:r>
        <w:t xml:space="preserve">= 0.943).</w:t>
      </w:r>
      <w:r>
        <w:t xml:space="preserve"> </w:t>
      </w:r>
      <w:hyperlink w:anchor="fig-clin-ben-wk4">
        <w:r>
          <w:rPr>
            <w:rStyle w:val="Hyperlink"/>
          </w:rPr>
          <w:t xml:space="preserve">Figure 1</w:t>
        </w:r>
      </w:hyperlink>
      <w:r>
        <w:t xml:space="preserve"> </w:t>
      </w:r>
      <w:r>
        <w:t xml:space="preserve">shows the mean abstinence rate by treatment matching at each time point. The pattern of results was identical when including only individuals who reported any medication use in the analysis sample (4 weeks: OR = 1.359,</w:t>
      </w:r>
      <w:r>
        <w:t xml:space="preserve"> </w:t>
      </w:r>
      <w:r>
        <w:rPr>
          <w:i/>
          <w:iCs/>
        </w:rPr>
        <w:t xml:space="preserve">z</w:t>
      </w:r>
      <w:r>
        <w:t xml:space="preserve"> </w:t>
      </w:r>
      <w:r>
        <w:t xml:space="preserve">= 2.257,</w:t>
      </w:r>
      <w:r>
        <w:t xml:space="preserve"> </w:t>
      </w:r>
      <w:r>
        <w:rPr>
          <w:i/>
          <w:iCs/>
        </w:rPr>
        <w:t xml:space="preserve">p</w:t>
      </w:r>
      <w:r>
        <w:t xml:space="preserve"> </w:t>
      </w:r>
      <w:r>
        <w:t xml:space="preserve">= 0.024; 12 weeks:</w:t>
      </w:r>
      <w:r>
        <w:t xml:space="preserve"> </w:t>
      </w:r>
      <w:r>
        <w:rPr>
          <w:i/>
          <w:iCs/>
        </w:rPr>
        <w:t xml:space="preserve">p</w:t>
      </w:r>
      <w:r>
        <w:t xml:space="preserve"> </w:t>
      </w:r>
      <w:r>
        <w:t xml:space="preserve">= 0.295; 26 weeks:</w:t>
      </w:r>
      <w:r>
        <w:t xml:space="preserve"> </w:t>
      </w:r>
      <w:r>
        <w:rPr>
          <w:i/>
          <w:iCs/>
        </w:rPr>
        <w:t xml:space="preserve">p</w:t>
      </w:r>
      <w:r>
        <w:t xml:space="preserve"> </w:t>
      </w:r>
      <w:r>
        <w:t xml:space="preserve">= 0.902).</w:t>
      </w:r>
    </w:p>
    <w:tbl>
      <w:tblPr>
        <w:tblStyle w:val="Table"/>
        <w:tblW w:type="pct" w:w="5000"/>
        <w:tblLayout w:type="fixed"/>
        <w:tblLook w:firstRow="0" w:lastRow="0" w:firstColumn="0" w:lastColumn="0" w:noHBand="0" w:noVBand="0" w:val="0000"/>
      </w:tblPr>
      <w:tblGrid>
        <w:gridCol w:w="7920"/>
      </w:tblGrid>
      <w:tr>
        <w:tc>
          <w:tcPr/>
          <w:bookmarkStart w:id="68" w:name="fig-clin-ben-wk4"/>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val_benefit_4wk-fig-clin-ben-wk4-output-2.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Benefit of treatment matching. Bars represent mean observed abstinence (from original trial) for individuals who did and did not receive their model-predicted best treatment, over time. Error bars indicate standard errors.</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Evaluation of Clinical Benefit: Week 4 Model</w:t>
        </w:r>
      </w:hyperlink>
    </w:p>
    <w:p>
      <w:pPr>
        <w:pStyle w:val="BodyText"/>
      </w:pPr>
      <w:r>
        <w:t xml:space="preserve">Clinical benefit fairness analysis results here!</w:t>
      </w:r>
    </w:p>
    <w:p>
      <w:pPr>
        <w:pStyle w:val="BodyText"/>
      </w:pPr>
      <w:r>
        <w:t xml:space="preserve">We conducted follow-up fairness analyses for the significant effect of treatment matching at 4 weeks.</w:t>
      </w:r>
      <w:r>
        <w:t xml:space="preserve"> </w:t>
      </w:r>
      <w:r>
        <w:rPr>
          <w:i/>
          <w:iCs/>
        </w:rPr>
        <w:t xml:space="preserve">Figure X</w:t>
      </w:r>
      <w:r>
        <w:t xml:space="preserve"> </w:t>
      </w:r>
      <w:r>
        <w:t xml:space="preserve">shows the mean abstinence rate for individuals matched to their best treatment and individuals matched to other treatment separately by sex (Panel A), race/ethnicity (Panel B), and income (Panel C). The treatment matching effect size was similar for male (OR = 1.395) and female (OR = 1.372) participants, and abstinence rates were similar across groups. Non-White participants had a descriptively greater benefit of treatment matching (OR = 2.164) than non-Hispanic White participants (OR = 1.208). However, abstinence rates overall were lower for non-White participants. The treatment matching benefit was similar for individuals whose income was above (OR = ) and below (OR = ) the national poverty line, but abstinence rates were lower overall for individuals below the poverty line.</w:t>
      </w:r>
      <w:r>
        <w:rPr>
          <w:rStyle w:val="FootnoteReference"/>
        </w:rPr>
        <w:footnoteReference w:id="70"/>
      </w:r>
    </w:p>
    <w:bookmarkEnd w:id="71"/>
    <w:bookmarkStart w:id="77" w:name="model-performance"/>
    <w:p>
      <w:pPr>
        <w:pStyle w:val="Heading3"/>
      </w:pPr>
      <w:r>
        <w:t xml:space="preserve">Model performance</w:t>
      </w:r>
    </w:p>
    <w:p>
      <w:pPr>
        <w:pStyle w:val="FirstParagraph"/>
      </w:pPr>
      <w:r>
        <w:t xml:space="preserve">The median auROC across the 30 test sets for the 4-week model was 0.695 (IQR = 0.667 - 0.718, range = 0.592 - 0.788).</w:t>
      </w:r>
      <w:r>
        <w:t xml:space="preserve"> </w:t>
      </w:r>
      <w:hyperlink w:anchor="fig-combined">
        <w:r>
          <w:rPr>
            <w:rStyle w:val="Hyperlink"/>
          </w:rPr>
          <w:t xml:space="preserve">Figure 2</w:t>
        </w:r>
      </w:hyperlink>
      <w:r>
        <w:t xml:space="preserve">, Panel A shows the ROC curve for held-out test set performance (concatenated across 30 held-out folds).</w:t>
      </w:r>
    </w:p>
    <w:tbl>
      <w:tblPr>
        <w:tblStyle w:val="Table"/>
        <w:tblW w:type="pct" w:w="5000"/>
        <w:tblLayout w:type="fixed"/>
        <w:tblLook w:firstRow="0" w:lastRow="0" w:firstColumn="0" w:lastColumn="0" w:noHBand="0" w:noVBand="0" w:val="0000"/>
      </w:tblPr>
      <w:tblGrid>
        <w:gridCol w:w="7920"/>
      </w:tblGrid>
      <w:tr>
        <w:tc>
          <w:tcPr/>
          <w:bookmarkStart w:id="75" w:name="fig-combined"/>
          <w:p>
            <w:pPr>
              <w:pStyle w:val="Compact"/>
              <w:jc w:val="center"/>
            </w:pPr>
            <w:r>
              <w:drawing>
                <wp:inline>
                  <wp:extent cx="5334000" cy="7620000"/>
                  <wp:effectExtent b="0" l="0" r="0" t="0"/>
                  <wp:docPr descr="" title="" id="73" name="Picture"/>
                  <a:graphic>
                    <a:graphicData uri="http://schemas.openxmlformats.org/drawingml/2006/picture">
                      <pic:pic>
                        <pic:nvPicPr>
                          <pic:cNvPr descr="index_files/figure-docx/notebooks-mak_fig_1-fig-combined-output-2.png" id="74" name="Picture"/>
                          <pic:cNvPicPr>
                            <a:picLocks noChangeArrowheads="1" noChangeAspect="1"/>
                          </pic:cNvPicPr>
                        </pic:nvPicPr>
                        <pic:blipFill>
                          <a:blip r:embed="rId72"/>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providing strong evidence that this model has predictive signal.</w:t>
      </w:r>
      <w:r>
        <w:t xml:space="preserve"> </w:t>
      </w:r>
      <w:hyperlink w:anchor="fig-combined">
        <w:r>
          <w:rPr>
            <w:rStyle w:val="Hyperlink"/>
          </w:rPr>
          <w:t xml:space="preserve">Figure 2</w:t>
        </w:r>
      </w:hyperlink>
      <w:r>
        <w:t xml:space="preserve">, Panel B displays the posterior probability distribution for the auROC.</w:t>
      </w:r>
    </w:p>
    <w:p>
      <w:pPr>
        <w:pStyle w:val="BodyText"/>
      </w:pPr>
      <w:r>
        <w:t xml:space="preserve">In</w:t>
      </w:r>
      <w:r>
        <w:t xml:space="preserve"> </w:t>
      </w:r>
      <w:hyperlink w:anchor="fig-combined">
        <w:r>
          <w:rPr>
            <w:rStyle w:val="Hyperlink"/>
          </w:rPr>
          <w:t xml:space="preserve">Figure 2</w:t>
        </w:r>
      </w:hyperlink>
      <w:r>
        <w:t xml:space="preserve">, Panel C, we display our model’s calibration. Predicted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Probabilities are well calibrated and ordinal in their relationship with the true probability of abstinence.</w:t>
      </w:r>
    </w:p>
    <w:bookmarkEnd w:id="77"/>
    <w:bookmarkStart w:id="83" w:name="model-interpretation-1"/>
    <w:p>
      <w:pPr>
        <w:pStyle w:val="Heading3"/>
      </w:pPr>
      <w:r>
        <w:t xml:space="preserve">Model interpretation</w:t>
      </w:r>
    </w:p>
    <w:p>
      <w:pPr>
        <w:pStyle w:val="FirstParagraph"/>
      </w:pPr>
      <w:r>
        <w:t xml:space="preserve">Our final model fit with the full dataset retained 155 features overall including 74 treatment interactions (see Supplemental Table X for retained feature list). To perform treatment selection, only interactive features need to be assessed, as features that increase or decrease probabilities equally across treatments do not help to make different predictions across candidate medications. Implementing this model for treatment selection requires assessing only 52 unique items (e.g., multiple one hot features are from a single item, the same feature interacts with more than one treatment).</w:t>
      </w:r>
    </w:p>
    <w:p>
      <w:pPr>
        <w:pStyle w:val="BodyText"/>
      </w:pPr>
      <w:r>
        <w:t xml:space="preserve">Global feature importance (mean |Shapley value|) from our model appears in</w:t>
      </w:r>
      <w:r>
        <w:t xml:space="preserve"> </w:t>
      </w:r>
      <w:hyperlink w:anchor="fig-shap-global">
        <w:r>
          <w:rPr>
            <w:rStyle w:val="Hyperlink"/>
          </w:rPr>
          <w:t xml:space="preserve">Figure 3</w:t>
        </w:r>
      </w:hyperlink>
      <w:r>
        <w:t xml:space="preserve">. Shapley values describe the relative importance of these individual features for making predictions. Six of the top 25 most globally important features were treatment interactions.</w:t>
      </w:r>
    </w:p>
    <w:tbl>
      <w:tblPr>
        <w:tblStyle w:val="Table"/>
        <w:tblW w:type="pct" w:w="5000"/>
        <w:tblLayout w:type="fixed"/>
        <w:tblLook w:firstRow="0" w:lastRow="0" w:firstColumn="0" w:lastColumn="0" w:noHBand="0" w:noVBand="0" w:val="0000"/>
      </w:tblPr>
      <w:tblGrid>
        <w:gridCol w:w="7920"/>
      </w:tblGrid>
      <w:tr>
        <w:tc>
          <w:tcPr/>
          <w:bookmarkStart w:id="81" w:name="fig-shap-global"/>
          <w:p>
            <w:pPr>
              <w:pStyle w:val="Compact"/>
              <w:jc w:val="center"/>
            </w:pPr>
            <w:r>
              <w:drawing>
                <wp:inline>
                  <wp:extent cx="5334000" cy="6858000"/>
                  <wp:effectExtent b="0" l="0" r="0" t="0"/>
                  <wp:docPr descr="" title="" id="79" name="Picture"/>
                  <a:graphic>
                    <a:graphicData uri="http://schemas.openxmlformats.org/drawingml/2006/picture">
                      <pic:pic>
                        <pic:nvPicPr>
                          <pic:cNvPr descr="index_files/figure-docx/notebooks-shap_4wk-fig-shap-global-output-1.png" id="80" name="Picture"/>
                          <pic:cNvPicPr>
                            <a:picLocks noChangeArrowheads="1" noChangeAspect="1"/>
                          </pic:cNvPicPr>
                        </pic:nvPicPr>
                        <pic:blipFill>
                          <a:blip r:embed="rId78"/>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for top 25 features. Bar represents magnitude of global feature importance, which is calculated from the mean of the |Shapley value| across all observations for that feature.</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SHAP for 4-Week Model</w:t>
        </w:r>
      </w:hyperlink>
    </w:p>
    <w:bookmarkEnd w:id="83"/>
    <w:bookmarkEnd w:id="84"/>
    <w:bookmarkStart w:id="286" w:name="discussion"/>
    <w:p>
      <w:pPr>
        <w:pStyle w:val="Heading2"/>
      </w:pPr>
      <w:r>
        <w:t xml:space="preserve">Discussion</w:t>
      </w:r>
    </w:p>
    <w:p>
      <w:pPr>
        <w:pStyle w:val="FirstParagraph"/>
      </w:pPr>
      <w:r>
        <w:t xml:space="preserve">In this project, we produced a treatment selection model that can offer immediate benefit to individuals looking to quit smoking using several first-line medications. Individuals who received their model-predicted best treatment in the original trial had a mean abstinence rate that was 7.4% higher than individuals who did not (38.9% vs. 31.5%) at 4 weeks. Although this absolute difference may seem somewhat small, this corresponds to a 23.5%</w:t>
      </w:r>
      <w:r>
        <w:t xml:space="preserve"> </w:t>
      </w:r>
      <w:r>
        <w:rPr>
          <w:i/>
          <w:iCs/>
        </w:rPr>
        <w:t xml:space="preserve">relative</w:t>
      </w:r>
      <w:r>
        <w:t xml:space="preserve"> </w:t>
      </w:r>
      <w:r>
        <w:t xml:space="preserve">improvement - simply by allocating treatments to the right person.</w:t>
      </w:r>
    </w:p>
    <w:p>
      <w:pPr>
        <w:pStyle w:val="BodyText"/>
      </w:pPr>
      <w:r>
        <w:t xml:space="preserve">We feel confident in this effect for several reasons. First, we made predictions for each individual to identify their best treatment while they were held-out from model fitting to match how this model will be used in clinical practice (i.e.,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our treatment selection process relies on the relative</w:t>
      </w:r>
      <w:r>
        <w:t xml:space="preserve"> </w:t>
      </w:r>
      <w:r>
        <w:rPr>
          <w:i/>
          <w:iCs/>
        </w:rPr>
        <w:t xml:space="preserve">order</w:t>
      </w:r>
      <w:r>
        <w:t xml:space="preserve"> </w:t>
      </w:r>
      <w:r>
        <w:t xml:space="preserve">(i.e., rank) of predicted probabilities for each person rather than the values themselves.</w:t>
      </w:r>
    </w:p>
    <w:p>
      <w:pPr>
        <w:pStyle w:val="BodyText"/>
      </w:pPr>
      <w:r>
        <w:t xml:space="preserve">We can achieve this benefit using an accessible, low-burden assessment. Implementing this treatment selection model would require assessing approximately 50 multiple choice and yes/no questions, which survey research suggests would take 11-12 minutes to complete</w:t>
      </w:r>
      <w:r>
        <w:t xml:space="preserve"> </w:t>
      </w:r>
      <w:r>
        <w:t xml:space="preserve">(Lenzner, Kaczmirek, and Lenzner 2010)</w:t>
      </w:r>
      <w:r>
        <w:t xml:space="preserve">. Additionally, because all items are self-report questions, this assessment can be completed remotely (e.g., administered online) and can be made available to people without access to in-person medical care. This remote capacity is particularly valuable because two treatments in the model (C-NRT, nicotine patch) are widely available over-the-counter, offering scalable implementation when healthcare access is limited.</w:t>
      </w:r>
    </w:p>
    <w:p>
      <w:pPr>
        <w:pStyle w:val="BodyText"/>
      </w:pPr>
      <w:r>
        <w:t xml:space="preserve">This focus on accessibility is especially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Prioritizing accessibility in implementation is a critical first step towards mitigating rather than exacerbating health disparities</w:t>
      </w:r>
      <w:r>
        <w:t xml:space="preserve"> </w:t>
      </w:r>
      <w:r>
        <w:t xml:space="preserve">(MacEachern and Forkert 2021)</w:t>
      </w:r>
      <w:r>
        <w:t xml:space="preserve">.</w:t>
      </w:r>
    </w:p>
    <w:p>
      <w:pPr>
        <w:pStyle w:val="BodyText"/>
      </w:pPr>
      <w:r>
        <w:t xml:space="preserve">We further addressed this goal with our fairness analyses. We found that our treatment selection model may be well-positioned to improve treatment equity: Our model offered comparable benefit for female (vs. male) and lower income (vs. higher income) individuals, and it offered greater relative benefit to non-White individuals (vs. non-Hispanic White individuals). If our goal is to reduce and ultimately close the treatment gap between privileged individuals and individuals often disadvantaged in research efforts and mental healthcare, then we need tools such as this model that offer</w:t>
      </w:r>
      <w:r>
        <w:t xml:space="preserve"> </w:t>
      </w:r>
      <w:r>
        <w:rPr>
          <w:i/>
          <w:iCs/>
        </w:rPr>
        <w:t xml:space="preserve">additional</w:t>
      </w:r>
      <w:r>
        <w:t xml:space="preserve"> </w:t>
      </w:r>
      <w:r>
        <w:t xml:space="preserve">benefit to those disadvantaged demographic groups.</w:t>
      </w:r>
    </w:p>
    <w:bookmarkStart w:id="85" w:name="X6c142b80e7bd0573abccdff59e717f6d63a6d69"/>
    <w:p>
      <w:pPr>
        <w:pStyle w:val="Heading3"/>
      </w:pPr>
      <w:r>
        <w:t xml:space="preserve">Improving long-term benefit of treatment selection</w:t>
      </w:r>
    </w:p>
    <w:p>
      <w:pPr>
        <w:pStyle w:val="FirstParagraph"/>
      </w:pPr>
      <w:r>
        <w:t xml:space="preserve">Alongside these exciting findings, the clinical benefit that our treatment selection model offers is short-lived. There is no longer statistically significant benefit of treatment matching at 12 weeks, though there is a numeric difference (31.2% abstinence vs. 27.8% abstinence, corresponding to a 12.2% relative improvement), and there is no statistical or numeric difference at all by 6 months.</w:t>
      </w:r>
    </w:p>
    <w:p>
      <w:pPr>
        <w:pStyle w:val="BodyText"/>
      </w:pPr>
      <w:r>
        <w:t xml:space="preserve">Initial treatment success is critical, especially for cigarette smoking where even reducing smoking or quitting for a short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Selecting a treatment that increases treatment success in early recovery (i.e., at 4 weeks) is therefore necessary - though not sufficient - for long-term success. Nevertheless, we were of course hopeful that treatment matching benefits would endure. However, it is perhaps unsurprising that they do not. There may be several possibilities for the lack of benefit at later assessment points.</w:t>
      </w:r>
    </w:p>
    <w:p>
      <w:pPr>
        <w:pStyle w:val="BodyText"/>
      </w:pPr>
      <w:r>
        <w:t xml:space="preserve">First, it is possible that we could have improved treatment selection by improving the underlying model’s predictive performance. Our best estimate of median auROC in held-out data (from the posterior probability distribution) was 0.69, indicating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 but there is room for improvement.</w:t>
      </w:r>
    </w:p>
    <w:p>
      <w:pPr>
        <w:pStyle w:val="BodyText"/>
      </w:pPr>
      <w:r>
        <w:t xml:space="preserve">Capturing some signal with our model was necessary to yield credible predictions and establish the relevance of features, and so our model’s modest predictive performance may have impacted our ability to select treatments. However, overall prediction of treatment success was not our primary goal and is insufficient for treatment selection.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A second possibility is that we were missing important model inputs. We began by discussing the need for many features and multiple treatments in treatment selection models. Although our model had a rich set of features, we may have been missing features that might have improved underlying model performance or are critical for selecting among these smoking cessation treatments. Our data come from a large comparative effectiveness trial conducted by a nationally recognized center and designed by foremost experts in the field</w:t>
      </w:r>
      <w:r>
        <w:t xml:space="preserve"> </w:t>
      </w:r>
      <w:r>
        <w:t xml:space="preserve">(Baker et al. 2016)</w:t>
      </w:r>
      <w:r>
        <w:t xml:space="preserve">. The baseline assessment was quite comprehensive and was based on domain expertise and decades of research. Thus, it seems unlikely that we could be missing enough important self-report features to bridge the gap in our benefit of treatment selection.</w:t>
      </w:r>
    </w:p>
    <w:p>
      <w:pPr>
        <w:pStyle w:val="BodyText"/>
      </w:pPr>
      <w:r>
        <w:t xml:space="preserve">One category of features we did not include was biological markers or genetic features, which have generated excitement for their potential for treatment selection</w:t>
      </w:r>
      <w:r>
        <w:t xml:space="preserve"> </w:t>
      </w:r>
      <w:r>
        <w:t xml:space="preserve">(Chen, Horton, and Bierut 2018)</w:t>
      </w:r>
      <w:r>
        <w:t xml:space="preserve">. However, extant literature has primarily used single candidate genes or biomarkers, has also not found long-term benefits, and has not translated well into real-world settings</w:t>
      </w:r>
      <w:r>
        <w:t xml:space="preserve"> </w:t>
      </w:r>
      <w:r>
        <w:t xml:space="preserve">(Chen et al. 2020; Shahab et al. 2019; Schnoll et al. 2009; Glatard et al. 2017; Chenoweth et al. 2016; Lerman et al. 2015; Siegel et al. 2020)</w:t>
      </w:r>
      <w:r>
        <w:t xml:space="preserve">. Additionally,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w:t>
      </w:r>
    </w:p>
    <w:p>
      <w:pPr>
        <w:pStyle w:val="BodyText"/>
      </w:pPr>
      <w:r>
        <w:t xml:space="preserve">We may also have been missing model inputs on the treatment side. For example, bupropion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bupropion. There may be individuals in our sample for whom none of our included treatments were optimal, but bupropion might have been. If true, including bupropion could have improved model performance and increased clinical benefit.</w:t>
      </w:r>
    </w:p>
    <w:p>
      <w:pPr>
        <w:pStyle w:val="BodyText"/>
      </w:pPr>
      <w:r>
        <w:t xml:space="preserve">A third, notable possibility is that our model did not capture dynamic changes over time. It may be that the same features predict treatment success across time. However, because these characteristics can change dynamically</w:t>
      </w:r>
      <w:r>
        <w:t xml:space="preserve"> </w:t>
      </w:r>
      <w:r>
        <w:rPr>
          <w:i/>
          <w:iCs/>
        </w:rPr>
        <w:t xml:space="preserve">within an individual</w:t>
      </w:r>
      <w:r>
        <w:t xml:space="preserve">, what was the right treatment based on pre-quit characteristics is no longer the right treatment by 12 weeks, 6 months, or beyond. Many of the features used for prediction in this model were baseline measurements of</w:t>
      </w:r>
      <w:r>
        <w:t xml:space="preserve"> </w:t>
      </w:r>
      <w:r>
        <w:rPr>
          <w:i/>
          <w:iCs/>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Dynamic change is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to overcome for precision mental health goals in addiction</w:t>
      </w:r>
      <w:r>
        <w:t xml:space="preserve"> </w:t>
      </w:r>
      <w:r>
        <w:t xml:space="preserve">(Oliver and McClernon 2017)</w:t>
      </w:r>
      <w:r>
        <w:t xml:space="preserve">.</w:t>
      </w:r>
    </w:p>
    <w:p>
      <w:pPr>
        <w:pStyle w:val="BodyText"/>
      </w:pPr>
      <w:r>
        <w:t xml:space="preserve">Accounting for dynamic changes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 Wyant et al. 2024)</w:t>
      </w:r>
      <w:r>
        <w:t xml:space="preserve"> </w:t>
      </w:r>
      <w:r>
        <w:t xml:space="preserve">and is acceptable to individuals with substance use disorders</w:t>
      </w:r>
      <w:r>
        <w:t xml:space="preserve"> </w:t>
      </w:r>
      <w:r>
        <w:t xml:space="preserve">(Wyant et al. 2023)</w:t>
      </w:r>
      <w:r>
        <w:t xml:space="preserve">. Sensing via ecological momentary assessment is well-positioned to capture the self-report items used as features in this treatment selection model. Although frequently answering a 50-item survey is likely not feasible, it may be that more proximal features have greater predictive power, thus requiring fewer features for successful treatment selection. Indeed, in previous work in our laboratory, we have been able to predict hour-by-hour probabilities of alcohol lapses quite accurately (auROCs &gt; 0.9) using features derived from only 10 self-report items that were measured much closer to the outcome</w:t>
      </w:r>
      <w:r>
        <w:t xml:space="preserve"> </w:t>
      </w:r>
      <w:r>
        <w:t xml:space="preserve">(Wyant et al. 2024)</w:t>
      </w:r>
      <w:r>
        <w:t xml:space="preserve">.</w:t>
      </w:r>
    </w:p>
    <w:p>
      <w:pPr>
        <w:pStyle w:val="BodyText"/>
      </w:pPr>
      <w:r>
        <w:t xml:space="preserve">Using dynamic monitoring, we can select and adapt treatments and supports over time. There are certainly opportunities to adapt medications – for example, titrating doses or identifying moments when someone could benefit most from a lozenge. In general, medications are more static treatments that are less well-suited to dynamic changes, but they do not need to be used on their own. We observed that matching people to the right medication improves treatment success at 4 weeks. Medications could help create early treatment success that positions people to engage with additional supports that might be able to adapt more dynamically. Alternative treatments and supports via web-based interventions and mobile health apps may offer platforms for sustainable, scalable, ongoing support. With ongoing monitoring, we could even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85"/>
    <w:bookmarkStart w:id="88"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identified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each feature offers only a small contribution, but many features together can guide treatment selection.</w:t>
      </w:r>
    </w:p>
    <w:p>
      <w:pPr>
        <w:pStyle w:val="BodyText"/>
      </w:pPr>
      <w:r>
        <w:t xml:space="preserve">We also identified features that predict treatment success overall (i.e.,</w:t>
      </w:r>
      <w:r>
        <w:t xml:space="preserve"> </w:t>
      </w:r>
      <w:r>
        <w:t xml:space="preserve">“</w:t>
      </w:r>
      <w:r>
        <w:t xml:space="preserve">main effects</w:t>
      </w:r>
      <w:r>
        <w:t xml:space="preserve">”</w:t>
      </w:r>
      <w:r>
        <w:t xml:space="preserve">). These features contribute to the smoking cessation literature and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treatment success.</w:t>
      </w:r>
    </w:p>
    <w:p>
      <w:pPr>
        <w:pStyle w:val="BodyText"/>
      </w:pPr>
      <w:r>
        <w:t xml:space="preserve">These</w:t>
      </w:r>
      <w:r>
        <w:t xml:space="preserve"> </w:t>
      </w:r>
      <w:r>
        <w:t xml:space="preserve">“</w:t>
      </w:r>
      <w:r>
        <w:t xml:space="preserve">main effect</w:t>
      </w:r>
      <w:r>
        <w:t xml:space="preserve">”</w:t>
      </w:r>
      <w:r>
        <w:t xml:space="preserve"> </w:t>
      </w:r>
      <w:r>
        <w:t xml:space="preserve">features may yet help to advance precision mental health goals. These features may represent mechanisms underlying smoking cessation success and thus offer targeted areas for future treatment development. They also may be used to tailor existing treatments to increase success across individuals. Main effect features in our model may also interact with other treatments not included in this study such as bupropion.</w:t>
      </w:r>
    </w:p>
    <w:bookmarkStart w:id="86" w:name="the-role-of-demographic-features"/>
    <w:p>
      <w:pPr>
        <w:pStyle w:val="Heading4"/>
      </w:pPr>
      <w:r>
        <w:t xml:space="preserve">The role of demographic features</w:t>
      </w:r>
    </w:p>
    <w:p>
      <w:pPr>
        <w:pStyle w:val="FirstParagraph"/>
      </w:pPr>
      <w:r>
        <w:t xml:space="preserve">Several demographic features emerged as important interactive features for treatment selection: race, gender, income, and marital status. Ethnicity did not emerge as an important interactive feature, and race-based interactive features were specifically related to identifying as a Black or White individual. However, the limited representation of Hispanic, Latino/a, Asian, Multiracial, and Native American/Alaska Native individuals in this sample warrants caution in drawing conclusions about the utility of ethnicity- and other race-based features for treatment selection.</w:t>
      </w:r>
    </w:p>
    <w:p>
      <w:pPr>
        <w:pStyle w:val="BodyText"/>
      </w:pPr>
      <w:r>
        <w:t xml:space="preserve">In some contexts, it would be problematic to use features that tap into constructs delineating marginalized identities such as race or socioeconomic status. For example, making decisions about who gets insurance (or doesn’t) and who gets released earlier from incarceration (or doesn’t) based on race is discriminatory (e.g.,</w:t>
      </w:r>
      <w:r>
        <w:t xml:space="preserve"> </w:t>
      </w:r>
      <w:r>
        <w:t xml:space="preserve">(Farayola et al. 2023)</w:t>
      </w:r>
      <w:r>
        <w:t xml:space="preserve">). However, in the precision mental health landscape, we are not deciding</w:t>
      </w:r>
      <w:r>
        <w:t xml:space="preserve"> </w:t>
      </w:r>
      <w:r>
        <w:rPr>
          <w:i/>
          <w:iCs/>
        </w:rPr>
        <w:t xml:space="preserve">who</w:t>
      </w:r>
      <w:r>
        <w:t xml:space="preserve"> </w:t>
      </w:r>
      <w:r>
        <w:t xml:space="preserve">gets treatment. Rather, we are deciding</w:t>
      </w:r>
      <w:r>
        <w:t xml:space="preserve"> </w:t>
      </w:r>
      <w:r>
        <w:rPr>
          <w:i/>
          <w:iCs/>
        </w:rPr>
        <w:t xml:space="preserve">which</w:t>
      </w:r>
      <w:r>
        <w:t xml:space="preserve"> </w:t>
      </w:r>
      <w:r>
        <w:t xml:space="preserve">treatment to give a specific patient. We can take advantage of experiential or symptomatological differences as a result of characteristics such as race, ethnicity, sex, income, or comorbid health conditions to improve treatment outcomes across vulnerable subpopulations.</w:t>
      </w:r>
    </w:p>
    <w:bookmarkEnd w:id="86"/>
    <w:bookmarkStart w:id="87" w:name="the-risk-of-transparency"/>
    <w:p>
      <w:pPr>
        <w:pStyle w:val="Heading4"/>
      </w:pPr>
      <w:r>
        <w:t xml:space="preserve">The risk of transparency</w:t>
      </w:r>
    </w:p>
    <w:p>
      <w:pPr>
        <w:pStyle w:val="FirstParagraph"/>
      </w:pPr>
      <w:r>
        <w:t xml:space="preserve">When patients and clinicians can easily see non-intuitive features, they may be dissuaded from using or trusting this treatment selection model. They may have similar concerns if they see demographic features are being used to make treatment decisions. With high-dimensional data and subsequent complex modeling, even the direction of an effect can be non-intuitive because a parameter estimate indicates a feature’s effect while accounting for all other features in the model. Regardless of the reason, the reality is that seeing non-intuitive questions on a treatment selection assessment or unpacking precisely how a model is making its decision may make patients or clinicians doubt the trustworthiness of the model. Careful consideration will be required before implementation to assess acceptability of treatment selection models for all stakeholders.</w:t>
      </w:r>
    </w:p>
    <w:bookmarkEnd w:id="87"/>
    <w:bookmarkEnd w:id="88"/>
    <w:bookmarkStart w:id="89" w:name="future-directions"/>
    <w:p>
      <w:pPr>
        <w:pStyle w:val="Heading3"/>
      </w:pPr>
      <w:r>
        <w:t xml:space="preserve">Future directions</w:t>
      </w:r>
    </w:p>
    <w:p>
      <w:pPr>
        <w:pStyle w:val="FirstParagraph"/>
      </w:pPr>
      <w:r>
        <w:t xml:space="preserve">We made a concerted effort in this project to evaluate how our treatment selection model would perform for new patients using cross-validation procedures. Regardless, the ultimate test of this model’s clinical benefit will be in a prospective trial. This trial will offer two tests. First, it will assess whether using this model is feasible and acceptable to patients and clinicians in clinical practice. Second, we can evaluate the benefit of our treatment selection model in an entirely new sample. Individuals who receive their model-predicted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clinical practice). Another option is that we could compare to a simpler model. For example, there is evidence that treatment adherence is higher when people choose their preferred treatment</w:t>
      </w:r>
      <w:r>
        <w:t xml:space="preserve"> </w:t>
      </w:r>
      <w:r>
        <w:t xml:space="preserve">(K. L. Cropsey et al. 2017)</w:t>
      </w:r>
      <w:r>
        <w:t xml:space="preserve">. Thus, treatments in the comparison group could be assigned based on patient preference. Each comparison offers different advantages and disadvantages that should be considered thoughtfully when designing a prospective trial.</w:t>
      </w:r>
    </w:p>
    <w:bookmarkEnd w:id="89"/>
    <w:bookmarkStart w:id="285"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we aimed to address health inequities by using a relatively low-burden assessment that uses widely accessible features and by ensuring our model provides equal if not relatively greater clinical benefit for individuals from several minoritized demographic groups. This treatment selection model may serve as an initial tool embedded in a continuing care landscape where treatments are adapted dynamically over time. The ultimate test of our model will be in a prospective trial that assesses its feasibility, acceptability, and effectiveness in clinical practice. We are optimistic about the promise our model holds to improve the public health burden of cigarette smoking.</w:t>
      </w:r>
    </w:p>
    <w:bookmarkStart w:id="284" w:name="refs"/>
    <w:bookmarkStart w:id="91"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
          <w:iCs/>
        </w:rPr>
        <w:t xml:space="preserve">Value in Health</w:t>
      </w:r>
      <w:r>
        <w:t xml:space="preserve"> </w:t>
      </w:r>
      <w:r>
        <w:t xml:space="preserve">25 (7): S324–25.</w:t>
      </w:r>
      <w:r>
        <w:t xml:space="preserve"> </w:t>
      </w:r>
      <w:hyperlink r:id="rId90">
        <w:r>
          <w:rPr>
            <w:rStyle w:val="Hyperlink"/>
          </w:rPr>
          <w:t xml:space="preserve">https://doi.org/10.1016/j.jval.2022.04.206</w:t>
        </w:r>
      </w:hyperlink>
      <w:r>
        <w:t xml:space="preserve">.</w:t>
      </w:r>
    </w:p>
    <w:bookmarkEnd w:id="91"/>
    <w:bookmarkStart w:id="93" w:name="X6b704708a68ebcd9a7051a5bbcaa3ad52f98762"/>
    <w:p>
      <w:pPr>
        <w:pStyle w:val="Bibliography"/>
      </w:pPr>
      <w:r>
        <w:t xml:space="preserve">American Psychiatric Association. 2013.</w:t>
      </w:r>
      <w:r>
        <w:t xml:space="preserve"> </w:t>
      </w:r>
      <w:r>
        <w:rPr>
          <w:i/>
          <w:iCs/>
        </w:rPr>
        <w:t xml:space="preserve">Diagnostic and</w:t>
      </w:r>
      <w:r>
        <w:rPr>
          <w:i/>
          <w:iCs/>
        </w:rPr>
        <w:t xml:space="preserve"> </w:t>
      </w:r>
      <w:r>
        <w:rPr>
          <w:i/>
          <w:iCs/>
        </w:rPr>
        <w:t xml:space="preserve">Statistical Manual</w:t>
      </w:r>
      <w:r>
        <w:rPr>
          <w:i/>
          <w:iCs/>
        </w:rPr>
        <w:t xml:space="preserve"> </w:t>
      </w:r>
      <w:r>
        <w:rPr>
          <w:i/>
          <w:iCs/>
        </w:rPr>
        <w:t xml:space="preserve">of</w:t>
      </w:r>
      <w:r>
        <w:rPr>
          <w:i/>
          <w:iCs/>
        </w:rPr>
        <w:t xml:space="preserve"> </w:t>
      </w:r>
      <w:r>
        <w:rPr>
          <w:i/>
          <w:iCs/>
        </w:rPr>
        <w:t xml:space="preserve">Mental Disorders</w:t>
      </w:r>
      <w:r>
        <w:t xml:space="preserve">. Fifth Edition. American Psychiatric Association.</w:t>
      </w:r>
      <w:r>
        <w:t xml:space="preserve"> </w:t>
      </w:r>
      <w:hyperlink r:id="rId92">
        <w:r>
          <w:rPr>
            <w:rStyle w:val="Hyperlink"/>
          </w:rPr>
          <w:t xml:space="preserve">https://doi.org/10.1176/appi.books.9780890425596</w:t>
        </w:r>
      </w:hyperlink>
      <w:r>
        <w:t xml:space="preserve">.</w:t>
      </w:r>
    </w:p>
    <w:bookmarkEnd w:id="93"/>
    <w:bookmarkStart w:id="9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94">
        <w:r>
          <w:rPr>
            <w:rStyle w:val="Hyperlink"/>
          </w:rPr>
          <w:t xml:space="preserve">https://doi.org/10.1016/j.addbeh.2017.11.039</w:t>
        </w:r>
      </w:hyperlink>
      <w:r>
        <w:t xml:space="preserve">.</w:t>
      </w:r>
    </w:p>
    <w:bookmarkEnd w:id="95"/>
    <w:bookmarkStart w:id="97"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
          <w:iCs/>
        </w:rPr>
        <w:t xml:space="preserve">New England Journal of Medicine</w:t>
      </w:r>
      <w:r>
        <w:t xml:space="preserve"> </w:t>
      </w:r>
      <w:r>
        <w:t xml:space="preserve">369 (3): 201–4.</w:t>
      </w:r>
      <w:r>
        <w:t xml:space="preserve"> </w:t>
      </w:r>
      <w:hyperlink r:id="rId96">
        <w:r>
          <w:rPr>
            <w:rStyle w:val="Hyperlink"/>
          </w:rPr>
          <w:t xml:space="preserve">https://doi.org/10.1056/NEJMp1301935</w:t>
        </w:r>
      </w:hyperlink>
      <w:r>
        <w:t xml:space="preserve">.</w:t>
      </w:r>
    </w:p>
    <w:bookmarkEnd w:id="97"/>
    <w:bookmarkStart w:id="99"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
          <w:iCs/>
        </w:rPr>
        <w:t xml:space="preserve">Annual Review of Clinical Psychology</w:t>
      </w:r>
      <w:r>
        <w:t xml:space="preserve"> </w:t>
      </w:r>
      <w:r>
        <w:t xml:space="preserve">17 (Volume 17, 2021): 1–30.</w:t>
      </w:r>
      <w:r>
        <w:t xml:space="preserve"> </w:t>
      </w:r>
      <w:hyperlink r:id="rId98">
        <w:r>
          <w:rPr>
            <w:rStyle w:val="Hyperlink"/>
          </w:rPr>
          <w:t xml:space="preserve">https://doi.org/10.1146/annurev-clinpsy-081219-090343</w:t>
        </w:r>
      </w:hyperlink>
      <w:r>
        <w:t xml:space="preserve">.</w:t>
      </w:r>
    </w:p>
    <w:bookmarkEnd w:id="99"/>
    <w:bookmarkStart w:id="101"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
          <w:iCs/>
        </w:rPr>
        <w:t xml:space="preserve">JAMA</w:t>
      </w:r>
      <w:r>
        <w:t xml:space="preserve"> </w:t>
      </w:r>
      <w:r>
        <w:t xml:space="preserve">315 (4): 371–79.</w:t>
      </w:r>
      <w:r>
        <w:t xml:space="preserve"> </w:t>
      </w:r>
      <w:hyperlink r:id="rId100">
        <w:r>
          <w:rPr>
            <w:rStyle w:val="Hyperlink"/>
          </w:rPr>
          <w:t xml:space="preserve">https://doi.org/10.1001/jama.2015.19284</w:t>
        </w:r>
      </w:hyperlink>
      <w:r>
        <w:t xml:space="preserve">.</w:t>
      </w:r>
    </w:p>
    <w:bookmarkEnd w:id="101"/>
    <w:bookmarkStart w:id="102" w:name="ref-batesLme4LinearMixedEffects2015"/>
    <w:p>
      <w:pPr>
        <w:pStyle w:val="Bibliography"/>
      </w:pPr>
      <w:r>
        <w:t xml:space="preserve">Bates, Douglas, Martin Maechler, Ben Bolker, Steven Walker, Rune Haubo Bojesen Christensen, Henrik Singmann, Bin Dai, and Gabor Grothendieck. 2015.</w:t>
      </w:r>
      <w:r>
        <w:t xml:space="preserve"> </w:t>
      </w:r>
      <w:r>
        <w:t xml:space="preserve">“Lme4:</w:t>
      </w:r>
      <w:r>
        <w:t xml:space="preserve"> </w:t>
      </w:r>
      <w:r>
        <w:t xml:space="preserve">Linear Mixed-Effects Models</w:t>
      </w:r>
      <w:r>
        <w:t xml:space="preserve"> </w:t>
      </w:r>
      <w:r>
        <w:t xml:space="preserve">Using ’</w:t>
      </w:r>
      <w:r>
        <w:t xml:space="preserve">Eigen</w:t>
      </w:r>
      <w:r>
        <w:t xml:space="preserve">’ and</w:t>
      </w:r>
      <w:r>
        <w:t xml:space="preserve"> </w:t>
      </w:r>
      <w:r>
        <w:t xml:space="preserve">S4</w:t>
      </w:r>
      <w:r>
        <w:t xml:space="preserve">.”</w:t>
      </w:r>
    </w:p>
    <w:bookmarkEnd w:id="102"/>
    <w:bookmarkStart w:id="104"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
          <w:iCs/>
        </w:rPr>
        <w:t xml:space="preserve">Addiction Neuroscience</w:t>
      </w:r>
      <w:r>
        <w:t xml:space="preserve"> </w:t>
      </w:r>
      <w:r>
        <w:t xml:space="preserve">6 (June): 100068.</w:t>
      </w:r>
      <w:r>
        <w:t xml:space="preserve"> </w:t>
      </w:r>
      <w:hyperlink r:id="rId103">
        <w:r>
          <w:rPr>
            <w:rStyle w:val="Hyperlink"/>
          </w:rPr>
          <w:t xml:space="preserve">https://doi.org/10.1016/j.addicn.2023.100068</w:t>
        </w:r>
      </w:hyperlink>
      <w:r>
        <w:t xml:space="preserve">.</w:t>
      </w:r>
    </w:p>
    <w:bookmarkEnd w:id="104"/>
    <w:bookmarkStart w:id="106"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
          <w:iCs/>
        </w:rPr>
        <w:t xml:space="preserve">Administration and Policy in Mental Health</w:t>
      </w:r>
      <w:r>
        <w:t xml:space="preserve">, July, 1–49.</w:t>
      </w:r>
      <w:r>
        <w:t xml:space="preserve"> </w:t>
      </w:r>
      <w:hyperlink r:id="rId105">
        <w:r>
          <w:rPr>
            <w:rStyle w:val="Hyperlink"/>
          </w:rPr>
          <w:t xml:space="preserve">https://doi.org/10.1007/s10488-020-01065-8</w:t>
        </w:r>
      </w:hyperlink>
      <w:r>
        <w:t xml:space="preserve">.</w:t>
      </w:r>
    </w:p>
    <w:bookmarkEnd w:id="106"/>
    <w:bookmarkStart w:id="10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107">
        <w:r>
          <w:rPr>
            <w:rStyle w:val="Hyperlink"/>
          </w:rPr>
          <w:t xml:space="preserve">https://doi.org/10.1007/s10488-016-0718-5</w:t>
        </w:r>
      </w:hyperlink>
      <w:r>
        <w:t xml:space="preserve">.</w:t>
      </w:r>
    </w:p>
    <w:bookmarkEnd w:id="108"/>
    <w:bookmarkStart w:id="109"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
          <w:iCs/>
        </w:rPr>
        <w:t xml:space="preserve">Journal of Machine Learning Research</w:t>
      </w:r>
      <w:r>
        <w:t xml:space="preserve"> </w:t>
      </w:r>
      <w:r>
        <w:t xml:space="preserve">19 (84): 1–5.</w:t>
      </w:r>
    </w:p>
    <w:bookmarkEnd w:id="109"/>
    <w:bookmarkStart w:id="11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110">
        <w:r>
          <w:rPr>
            <w:rStyle w:val="Hyperlink"/>
          </w:rPr>
          <w:t xml:space="preserve">https://doi.org/10.1146/annurev.clinpsy.3.022806.091455</w:t>
        </w:r>
      </w:hyperlink>
      <w:r>
        <w:t xml:space="preserve">.</w:t>
      </w:r>
    </w:p>
    <w:bookmarkEnd w:id="111"/>
    <w:bookmarkStart w:id="11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
          <w:iCs/>
        </w:rPr>
        <w:t xml:space="preserve">The Cochrane Database of Systematic Reviews</w:t>
      </w:r>
      <w:r>
        <w:t xml:space="preserve"> </w:t>
      </w:r>
      <w:r>
        <w:t xml:space="preserve">2016 (5).</w:t>
      </w:r>
      <w:r>
        <w:t xml:space="preserve"> </w:t>
      </w:r>
      <w:hyperlink r:id="rId112">
        <w:r>
          <w:rPr>
            <w:rStyle w:val="Hyperlink"/>
          </w:rPr>
          <w:t xml:space="preserve">https://doi.org/10.1002/14651858.CD006103.pub7</w:t>
        </w:r>
      </w:hyperlink>
      <w:r>
        <w:t xml:space="preserve">.</w:t>
      </w:r>
    </w:p>
    <w:bookmarkEnd w:id="113"/>
    <w:bookmarkStart w:id="11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
          <w:iCs/>
        </w:rPr>
        <w:t xml:space="preserve">The Cochrane Database of Systematic Reviews</w:t>
      </w:r>
      <w:r>
        <w:t xml:space="preserve">, no. 5 (May): CD009329.</w:t>
      </w:r>
      <w:r>
        <w:t xml:space="preserve"> </w:t>
      </w:r>
      <w:hyperlink r:id="rId114">
        <w:r>
          <w:rPr>
            <w:rStyle w:val="Hyperlink"/>
          </w:rPr>
          <w:t xml:space="preserve">https://doi.org/10.1002/14651858.CD009329.pub2</w:t>
        </w:r>
      </w:hyperlink>
      <w:r>
        <w:t xml:space="preserve">.</w:t>
      </w:r>
    </w:p>
    <w:bookmarkEnd w:id="115"/>
    <w:bookmarkStart w:id="11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6">
        <w:r>
          <w:rPr>
            <w:rStyle w:val="Hyperlink"/>
          </w:rPr>
          <w:t xml:space="preserve">https://doi.org/10.21231/GNT1-HW21</w:t>
        </w:r>
      </w:hyperlink>
      <w:r>
        <w:t xml:space="preserve">.</w:t>
      </w:r>
    </w:p>
    <w:bookmarkEnd w:id="117"/>
    <w:bookmarkStart w:id="11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
          <w:iCs/>
        </w:rPr>
        <w:t xml:space="preserve">Clinical Pharmacology &amp; Therapeutics</w:t>
      </w:r>
      <w:r>
        <w:t xml:space="preserve"> </w:t>
      </w:r>
      <w:r>
        <w:t xml:space="preserve">108 (6): 1315–25.</w:t>
      </w:r>
      <w:r>
        <w:t xml:space="preserve"> </w:t>
      </w:r>
      <w:hyperlink r:id="rId118">
        <w:r>
          <w:rPr>
            <w:rStyle w:val="Hyperlink"/>
          </w:rPr>
          <w:t xml:space="preserve">https://doi.org/10.1002/cpt.1971</w:t>
        </w:r>
      </w:hyperlink>
      <w:r>
        <w:t xml:space="preserve">.</w:t>
      </w:r>
    </w:p>
    <w:bookmarkEnd w:id="119"/>
    <w:bookmarkStart w:id="12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
          <w:iCs/>
        </w:rPr>
        <w:t xml:space="preserve">Neuroscience Letters</w:t>
      </w:r>
      <w:r>
        <w:t xml:space="preserve"> </w:t>
      </w:r>
      <w:r>
        <w:t xml:space="preserve">669 (March): 83–92.</w:t>
      </w:r>
      <w:r>
        <w:t xml:space="preserve"> </w:t>
      </w:r>
      <w:hyperlink r:id="rId120">
        <w:r>
          <w:rPr>
            <w:rStyle w:val="Hyperlink"/>
          </w:rPr>
          <w:t xml:space="preserve">https://doi.org/10.1016/j.neulet.2016.05.033</w:t>
        </w:r>
      </w:hyperlink>
      <w:r>
        <w:t xml:space="preserve">.</w:t>
      </w:r>
    </w:p>
    <w:bookmarkEnd w:id="121"/>
    <w:bookmarkStart w:id="12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
          <w:iCs/>
        </w:rPr>
        <w:t xml:space="preserve">Nicotine &amp; Tobacco Research</w:t>
      </w:r>
      <w:r>
        <w:t xml:space="preserve"> </w:t>
      </w:r>
      <w:r>
        <w:t xml:space="preserve">18 (4): 491–95.</w:t>
      </w:r>
      <w:r>
        <w:t xml:space="preserve"> </w:t>
      </w:r>
      <w:hyperlink r:id="rId122">
        <w:r>
          <w:rPr>
            <w:rStyle w:val="Hyperlink"/>
          </w:rPr>
          <w:t xml:space="preserve">https://doi.org/10.1093/ntr/ntv125</w:t>
        </w:r>
      </w:hyperlink>
      <w:r>
        <w:t xml:space="preserve">.</w:t>
      </w:r>
    </w:p>
    <w:bookmarkEnd w:id="123"/>
    <w:bookmarkStart w:id="12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124">
        <w:r>
          <w:rPr>
            <w:rStyle w:val="Hyperlink"/>
          </w:rPr>
          <w:t xml:space="preserve">https://doi.org/10.1016/j.jsat.2013.08.004</w:t>
        </w:r>
      </w:hyperlink>
      <w:r>
        <w:t xml:space="preserve">.</w:t>
      </w:r>
    </w:p>
    <w:bookmarkEnd w:id="125"/>
    <w:bookmarkStart w:id="127"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
          <w:iCs/>
        </w:rPr>
        <w:t xml:space="preserve">Annual Review of Clinical Psychology</w:t>
      </w:r>
      <w:r>
        <w:t xml:space="preserve"> </w:t>
      </w:r>
      <w:r>
        <w:t xml:space="preserve">14 (1): 209–36.</w:t>
      </w:r>
      <w:r>
        <w:t xml:space="preserve"> </w:t>
      </w:r>
      <w:hyperlink r:id="rId126">
        <w:r>
          <w:rPr>
            <w:rStyle w:val="Hyperlink"/>
          </w:rPr>
          <w:t xml:space="preserve">https://doi.org/10.1146/annurev-clinpsy-050817-084746</w:t>
        </w:r>
      </w:hyperlink>
      <w:r>
        <w:t xml:space="preserve">.</w:t>
      </w:r>
    </w:p>
    <w:bookmarkEnd w:id="127"/>
    <w:bookmarkStart w:id="129" w:name="Xe29632f4640db359554d6e94e7df1cfb6521b58"/>
    <w:p>
      <w:pPr>
        <w:pStyle w:val="Bibliography"/>
      </w:pPr>
      <w:r>
        <w:t xml:space="preserve">Collins, Linda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28">
        <w:r>
          <w:rPr>
            <w:rStyle w:val="Hyperlink"/>
          </w:rPr>
          <w:t xml:space="preserve">https://doi.org/10.1007/978-3-319-72206-1</w:t>
        </w:r>
      </w:hyperlink>
      <w:r>
        <w:t xml:space="preserve">.</w:t>
      </w:r>
    </w:p>
    <w:bookmarkEnd w:id="129"/>
    <w:bookmarkStart w:id="131"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
          <w:iCs/>
        </w:rPr>
        <w:t xml:space="preserve">MMWR. Morbidity and Mortality Weekly Report</w:t>
      </w:r>
      <w:r>
        <w:t xml:space="preserve"> </w:t>
      </w:r>
      <w:r>
        <w:t xml:space="preserve">69.</w:t>
      </w:r>
      <w:r>
        <w:t xml:space="preserve"> </w:t>
      </w:r>
      <w:hyperlink r:id="rId130">
        <w:r>
          <w:rPr>
            <w:rStyle w:val="Hyperlink"/>
          </w:rPr>
          <w:t xml:space="preserve">https://doi.org/10.15585/mmwr.mm6946a4</w:t>
        </w:r>
      </w:hyperlink>
      <w:r>
        <w:t xml:space="preserve">.</w:t>
      </w:r>
    </w:p>
    <w:bookmarkEnd w:id="131"/>
    <w:bookmarkStart w:id="133"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
          <w:iCs/>
        </w:rPr>
        <w:t xml:space="preserve">Nicotine &amp; Tobacco Research</w:t>
      </w:r>
      <w:r>
        <w:t xml:space="preserve"> </w:t>
      </w:r>
      <w:r>
        <w:t xml:space="preserve">22 (3): 415–22.</w:t>
      </w:r>
      <w:r>
        <w:t xml:space="preserve"> </w:t>
      </w:r>
      <w:hyperlink r:id="rId132">
        <w:r>
          <w:rPr>
            <w:rStyle w:val="Hyperlink"/>
          </w:rPr>
          <w:t xml:space="preserve">https://doi.org/10.1093/ntr/nty259</w:t>
        </w:r>
      </w:hyperlink>
      <w:r>
        <w:t xml:space="preserve">.</w:t>
      </w:r>
    </w:p>
    <w:bookmarkEnd w:id="133"/>
    <w:bookmarkStart w:id="135"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
          <w:iCs/>
        </w:rPr>
        <w:t xml:space="preserve">British Journal of Clinical Psychology</w:t>
      </w:r>
      <w:r>
        <w:t xml:space="preserve"> </w:t>
      </w:r>
      <w:r>
        <w:t xml:space="preserve">43 (3): 245–65.</w:t>
      </w:r>
      <w:r>
        <w:t xml:space="preserve"> </w:t>
      </w:r>
      <w:hyperlink r:id="rId134">
        <w:r>
          <w:rPr>
            <w:rStyle w:val="Hyperlink"/>
          </w:rPr>
          <w:t xml:space="preserve">https://doi.org/10.1348/0144665031752934</w:t>
        </w:r>
      </w:hyperlink>
      <w:r>
        <w:t xml:space="preserve">.</w:t>
      </w:r>
    </w:p>
    <w:bookmarkEnd w:id="135"/>
    <w:bookmarkStart w:id="137"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
          <w:iCs/>
        </w:rPr>
        <w:t xml:space="preserve">Addictive Behaviors</w:t>
      </w:r>
      <w:r>
        <w:t xml:space="preserve"> </w:t>
      </w:r>
      <w:r>
        <w:t xml:space="preserve">67 (April): 92–99.</w:t>
      </w:r>
      <w:r>
        <w:t xml:space="preserve"> </w:t>
      </w:r>
      <w:hyperlink r:id="rId136">
        <w:r>
          <w:rPr>
            <w:rStyle w:val="Hyperlink"/>
          </w:rPr>
          <w:t xml:space="preserve">https://doi.org/10.1016/j.addbeh.2016.12.011</w:t>
        </w:r>
      </w:hyperlink>
      <w:r>
        <w:t xml:space="preserve">.</w:t>
      </w:r>
    </w:p>
    <w:bookmarkEnd w:id="137"/>
    <w:bookmarkStart w:id="139"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
          <w:iCs/>
        </w:rPr>
        <w:t xml:space="preserve">Addictive Behaviors</w:t>
      </w:r>
      <w:r>
        <w:t xml:space="preserve"> </w:t>
      </w:r>
      <w:r>
        <w:t xml:space="preserve">29 (2): 425–31.</w:t>
      </w:r>
      <w:r>
        <w:t xml:space="preserve"> </w:t>
      </w:r>
      <w:hyperlink r:id="rId138">
        <w:r>
          <w:rPr>
            <w:rStyle w:val="Hyperlink"/>
          </w:rPr>
          <w:t xml:space="preserve">https://doi.org/10.1016/j.addbeh.2003.08.014</w:t>
        </w:r>
      </w:hyperlink>
      <w:r>
        <w:t xml:space="preserve">.</w:t>
      </w:r>
    </w:p>
    <w:bookmarkEnd w:id="139"/>
    <w:bookmarkStart w:id="14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40">
        <w:r>
          <w:rPr>
            <w:rStyle w:val="Hyperlink"/>
          </w:rPr>
          <w:t xml:space="preserve">https://doi.org/10.1016/j.brat.2019.103506</w:t>
        </w:r>
      </w:hyperlink>
      <w:r>
        <w:t xml:space="preserve">.</w:t>
      </w:r>
    </w:p>
    <w:bookmarkEnd w:id="141"/>
    <w:bookmarkStart w:id="143"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
          <w:iCs/>
        </w:rPr>
        <w:t xml:space="preserve">Annual Review of Clinical Psychology</w:t>
      </w:r>
      <w:r>
        <w:t xml:space="preserve"> </w:t>
      </w:r>
      <w:r>
        <w:t xml:space="preserve">14 (1): 91–118.</w:t>
      </w:r>
      <w:r>
        <w:t xml:space="preserve"> </w:t>
      </w:r>
      <w:hyperlink r:id="rId142">
        <w:r>
          <w:rPr>
            <w:rStyle w:val="Hyperlink"/>
          </w:rPr>
          <w:t xml:space="preserve">https://doi.org/10.1146/annurev-clinpsy-032816-045037</w:t>
        </w:r>
      </w:hyperlink>
      <w:r>
        <w:t xml:space="preserve">.</w:t>
      </w:r>
    </w:p>
    <w:bookmarkEnd w:id="143"/>
    <w:bookmarkStart w:id="145"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 </w:t>
      </w:r>
      <w:r>
        <w:t xml:space="preserve">3 (1): 26.</w:t>
      </w:r>
      <w:r>
        <w:t xml:space="preserve"> </w:t>
      </w:r>
      <w:hyperlink r:id="rId144">
        <w:r>
          <w:rPr>
            <w:rStyle w:val="Hyperlink"/>
          </w:rPr>
          <w:t xml:space="preserve">https://doi.org/ghqvcw</w:t>
        </w:r>
      </w:hyperlink>
      <w:r>
        <w:t xml:space="preserve">.</w:t>
      </w:r>
    </w:p>
    <w:bookmarkEnd w:id="145"/>
    <w:bookmarkStart w:id="147"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
          <w:iCs/>
        </w:rPr>
        <w:t xml:space="preserve">BMC Public Health</w:t>
      </w:r>
      <w:r>
        <w:t xml:space="preserve"> </w:t>
      </w:r>
      <w:r>
        <w:t xml:space="preserve">23 (1): 1076.</w:t>
      </w:r>
      <w:r>
        <w:t xml:space="preserve"> </w:t>
      </w:r>
      <w:hyperlink r:id="rId146">
        <w:r>
          <w:rPr>
            <w:rStyle w:val="Hyperlink"/>
          </w:rPr>
          <w:t xml:space="preserve">https://doi.org/10.1186/s12889-023-15859-6</w:t>
        </w:r>
      </w:hyperlink>
      <w:r>
        <w:t xml:space="preserve">.</w:t>
      </w:r>
    </w:p>
    <w:bookmarkEnd w:id="147"/>
    <w:bookmarkStart w:id="149"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
          <w:iCs/>
        </w:rPr>
        <w:t xml:space="preserve">Information</w:t>
      </w:r>
      <w:r>
        <w:t xml:space="preserve"> </w:t>
      </w:r>
      <w:r>
        <w:t xml:space="preserve">14 (8): 426.</w:t>
      </w:r>
      <w:r>
        <w:t xml:space="preserve"> </w:t>
      </w:r>
      <w:hyperlink r:id="rId148">
        <w:r>
          <w:rPr>
            <w:rStyle w:val="Hyperlink"/>
          </w:rPr>
          <w:t xml:space="preserve">https://doi.org/10.3390/info14080426</w:t>
        </w:r>
      </w:hyperlink>
      <w:r>
        <w:t xml:space="preserve">.</w:t>
      </w:r>
    </w:p>
    <w:bookmarkEnd w:id="149"/>
    <w:bookmarkStart w:id="151"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
          <w:iCs/>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50">
        <w:r>
          <w:rPr>
            <w:rStyle w:val="Hyperlink"/>
          </w:rPr>
          <w:t xml:space="preserve">https://doi.org/10.1016/j.biopsych.2020.02.015</w:t>
        </w:r>
      </w:hyperlink>
      <w:r>
        <w:t xml:space="preserve">.</w:t>
      </w:r>
    </w:p>
    <w:bookmarkEnd w:id="151"/>
    <w:bookmarkStart w:id="152" w:name="ref-fioreClinicalPracticeGuideline2008"/>
    <w:p>
      <w:pPr>
        <w:pStyle w:val="Bibliography"/>
      </w:pPr>
      <w:r>
        <w:t xml:space="preserve">Fiore, Micheal C, Carlos R Jaen, Timothy B Baker, William C Bailey, Neal L Benowitz, Susan J Curry, Sally F Dorfman, et al. 2008.</w:t>
      </w:r>
      <w:r>
        <w:t xml:space="preserve"> </w:t>
      </w:r>
      <w:r>
        <w:rPr>
          <w:i/>
          <w:iCs/>
        </w:rPr>
        <w:t xml:space="preserve">A Clinical Practice Guideline for Treating Tobacco Use and Dependence: 2008 Update.</w:t>
      </w:r>
      <w:r>
        <w:rPr>
          <w:i/>
          <w:iCs/>
        </w:rPr>
        <w:t xml:space="preserve"> </w:t>
      </w:r>
      <w:r>
        <w:rPr>
          <w:i/>
          <w:iCs/>
        </w:rPr>
        <w:t xml:space="preserve">A U</w:t>
      </w:r>
      <w:r>
        <w:rPr>
          <w:i/>
          <w:iCs/>
        </w:rPr>
        <w:t xml:space="preserve">.</w:t>
      </w:r>
      <w:r>
        <w:rPr>
          <w:i/>
          <w:iCs/>
        </w:rPr>
        <w:t xml:space="preserve">S</w:t>
      </w:r>
      <w:r>
        <w:rPr>
          <w:i/>
          <w:iCs/>
        </w:rPr>
        <w:t xml:space="preserve">.</w:t>
      </w:r>
      <w:r>
        <w:rPr>
          <w:i/>
          <w:iCs/>
        </w:rPr>
        <w:t xml:space="preserve"> </w:t>
      </w:r>
      <w:r>
        <w:rPr>
          <w:i/>
          <w:iCs/>
        </w:rPr>
        <w:t xml:space="preserve">Public Health Service</w:t>
      </w:r>
      <w:r>
        <w:rPr>
          <w:i/>
          <w:iCs/>
        </w:rPr>
        <w:t xml:space="preserve"> </w:t>
      </w:r>
      <w:r>
        <w:rPr>
          <w:i/>
          <w:iCs/>
        </w:rPr>
        <w:t xml:space="preserve">Report</w:t>
      </w:r>
      <w:r>
        <w:t xml:space="preserve">.</w:t>
      </w:r>
      <w:r>
        <w:t xml:space="preserve"> </w:t>
      </w:r>
      <w:r>
        <w:t xml:space="preserve">Rockville, MD: U.S. Department of Health and Human Services, U.S. Public Health Service</w:t>
      </w:r>
      <w:r>
        <w:t xml:space="preserve">.</w:t>
      </w:r>
    </w:p>
    <w:bookmarkEnd w:id="152"/>
    <w:bookmarkStart w:id="154"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
          <w:iCs/>
        </w:rPr>
        <w:t xml:space="preserve">Experimental and Clinical Psychopharmacology</w:t>
      </w:r>
      <w:r>
        <w:t xml:space="preserve"> </w:t>
      </w:r>
      <w:r>
        <w:t xml:space="preserve">25 (5): 353–62.</w:t>
      </w:r>
      <w:r>
        <w:t xml:space="preserve"> </w:t>
      </w:r>
      <w:hyperlink r:id="rId153">
        <w:r>
          <w:rPr>
            <w:rStyle w:val="Hyperlink"/>
          </w:rPr>
          <w:t xml:space="preserve">https://doi.org/10.1037/pha0000141</w:t>
        </w:r>
      </w:hyperlink>
      <w:r>
        <w:t xml:space="preserve">.</w:t>
      </w:r>
    </w:p>
    <w:bookmarkEnd w:id="154"/>
    <w:bookmarkStart w:id="156"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
          <w:iCs/>
        </w:rPr>
        <w:t xml:space="preserve">Clinical Pharmacology and Therapeutics</w:t>
      </w:r>
      <w:r>
        <w:t xml:space="preserve"> </w:t>
      </w:r>
      <w:r>
        <w:t xml:space="preserve">96 (3): 390–96.</w:t>
      </w:r>
      <w:r>
        <w:t xml:space="preserve"> </w:t>
      </w:r>
      <w:hyperlink r:id="rId155">
        <w:r>
          <w:rPr>
            <w:rStyle w:val="Hyperlink"/>
          </w:rPr>
          <w:t xml:space="preserve">https://doi.org/10.1038/clpt.2014.124</w:t>
        </w:r>
      </w:hyperlink>
      <w:r>
        <w:t xml:space="preserve">.</w:t>
      </w:r>
    </w:p>
    <w:bookmarkEnd w:id="156"/>
    <w:bookmarkStart w:id="15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
          <w:iCs/>
        </w:rPr>
        <w:t xml:space="preserve">Substance Use &amp; Misuse</w:t>
      </w:r>
      <w:r>
        <w:t xml:space="preserve"> </w:t>
      </w:r>
      <w:r>
        <w:t xml:space="preserve">55 (4): 572–81.</w:t>
      </w:r>
      <w:r>
        <w:t xml:space="preserve"> </w:t>
      </w:r>
      <w:hyperlink r:id="rId157">
        <w:r>
          <w:rPr>
            <w:rStyle w:val="Hyperlink"/>
          </w:rPr>
          <w:t xml:space="preserve">https://doi.org/10.1080/10826084.2019.1691593</w:t>
        </w:r>
      </w:hyperlink>
      <w:r>
        <w:t xml:space="preserve">.</w:t>
      </w:r>
    </w:p>
    <w:bookmarkEnd w:id="158"/>
    <w:bookmarkStart w:id="159"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
          <w:iCs/>
        </w:rPr>
        <w:t xml:space="preserve">British Journal of Addiction</w:t>
      </w:r>
      <w:r>
        <w:t xml:space="preserve"> </w:t>
      </w:r>
      <w:r>
        <w:t xml:space="preserve">86 (9): 1119–27.</w:t>
      </w:r>
    </w:p>
    <w:bookmarkEnd w:id="159"/>
    <w:bookmarkStart w:id="161"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
          <w:iCs/>
        </w:rPr>
        <w:t xml:space="preserve">American Journal of Preventive Medicine</w:t>
      </w:r>
      <w:r>
        <w:t xml:space="preserve"> </w:t>
      </w:r>
      <w:r>
        <w:t xml:space="preserve">53 (2): e63–70.</w:t>
      </w:r>
      <w:r>
        <w:t xml:space="preserve"> </w:t>
      </w:r>
      <w:hyperlink r:id="rId160">
        <w:r>
          <w:rPr>
            <w:rStyle w:val="Hyperlink"/>
          </w:rPr>
          <w:t xml:space="preserve">https://doi.org/10.1016/j.amepre.2017.01.038</w:t>
        </w:r>
      </w:hyperlink>
      <w:r>
        <w:t xml:space="preserve">.</w:t>
      </w:r>
    </w:p>
    <w:bookmarkEnd w:id="161"/>
    <w:bookmarkStart w:id="163"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
          <w:iCs/>
        </w:rPr>
        <w:t xml:space="preserve">American Journal of Psychiatry</w:t>
      </w:r>
      <w:r>
        <w:t xml:space="preserve"> </w:t>
      </w:r>
      <w:r>
        <w:t xml:space="preserve">171 (4): 395–97.</w:t>
      </w:r>
      <w:r>
        <w:t xml:space="preserve"> </w:t>
      </w:r>
      <w:hyperlink r:id="rId162">
        <w:r>
          <w:rPr>
            <w:rStyle w:val="Hyperlink"/>
          </w:rPr>
          <w:t xml:space="preserve">https://doi.org/10.1176/appi.ajp.2014.14020138</w:t>
        </w:r>
      </w:hyperlink>
      <w:r>
        <w:t xml:space="preserve">.</w:t>
      </w:r>
    </w:p>
    <w:bookmarkEnd w:id="163"/>
    <w:bookmarkStart w:id="165"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
          <w:iCs/>
        </w:rPr>
        <w:t xml:space="preserve">PloS One</w:t>
      </w:r>
      <w:r>
        <w:t xml:space="preserve"> </w:t>
      </w:r>
      <w:r>
        <w:t xml:space="preserve">18 (6): e0286883.</w:t>
      </w:r>
      <w:r>
        <w:t xml:space="preserve"> </w:t>
      </w:r>
      <w:hyperlink r:id="rId164">
        <w:r>
          <w:rPr>
            <w:rStyle w:val="Hyperlink"/>
          </w:rPr>
          <w:t xml:space="preserve">https://doi.org/10.1371/journal.pone.0286883</w:t>
        </w:r>
      </w:hyperlink>
      <w:r>
        <w:t xml:space="preserve">.</w:t>
      </w:r>
    </w:p>
    <w:bookmarkEnd w:id="165"/>
    <w:bookmarkStart w:id="166" w:name="Xef7a5e60d60ebc1c36ae80e8d3e603027eb0b63"/>
    <w:p>
      <w:pPr>
        <w:pStyle w:val="Bibliography"/>
      </w:pPr>
      <w:r>
        <w:t xml:space="preserve">Jacobson, Nicholas C., Tobias Kowatsch, and Lisa A. Marsch,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1st edition. London, United Kingdom ; San Diego, CA, United States: Academic Press.</w:t>
      </w:r>
    </w:p>
    <w:bookmarkEnd w:id="166"/>
    <w:bookmarkStart w:id="168"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
          <w:iCs/>
        </w:rPr>
        <w:t xml:space="preserve">MMWR. Morbidity and Mortality Weekly Report</w:t>
      </w:r>
      <w:r>
        <w:t xml:space="preserve"> </w:t>
      </w:r>
      <w:r>
        <w:t xml:space="preserve">64 (44): 1233–40.</w:t>
      </w:r>
      <w:r>
        <w:t xml:space="preserve"> </w:t>
      </w:r>
      <w:hyperlink r:id="rId167">
        <w:r>
          <w:rPr>
            <w:rStyle w:val="Hyperlink"/>
          </w:rPr>
          <w:t xml:space="preserve">https://doi.org/10.15585/mmwr.mm6444a2</w:t>
        </w:r>
      </w:hyperlink>
      <w:r>
        <w:t xml:space="preserve">.</w:t>
      </w:r>
    </w:p>
    <w:bookmarkEnd w:id="168"/>
    <w:bookmarkStart w:id="170" w:name="Xa9c19fd18364e1a984603ab44ff8007edc60a6a"/>
    <w:p>
      <w:pPr>
        <w:pStyle w:val="Bibliography"/>
      </w:pPr>
      <w:r>
        <w:t xml:space="preserve">James, Gareth, Daniela Witten, Trevor Hastie, and Robert Tibshirani. 2013.</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 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69">
        <w:r>
          <w:rPr>
            <w:rStyle w:val="Hyperlink"/>
          </w:rPr>
          <w:t xml:space="preserve">https://doi.org/10.1007/978-1-4614-7138-7</w:t>
        </w:r>
      </w:hyperlink>
      <w:r>
        <w:t xml:space="preserve">.</w:t>
      </w:r>
    </w:p>
    <w:bookmarkEnd w:id="170"/>
    <w:bookmarkStart w:id="172"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
          <w:iCs/>
        </w:rPr>
        <w:t xml:space="preserve">New England Journal of Medicine</w:t>
      </w:r>
      <w:r>
        <w:t xml:space="preserve"> </w:t>
      </w:r>
      <w:r>
        <w:t xml:space="preserve">368 (4): 341–50.</w:t>
      </w:r>
      <w:r>
        <w:t xml:space="preserve"> </w:t>
      </w:r>
      <w:hyperlink r:id="rId171">
        <w:r>
          <w:rPr>
            <w:rStyle w:val="Hyperlink"/>
          </w:rPr>
          <w:t xml:space="preserve">https://doi.org/10.1056/NEJMsa1211128</w:t>
        </w:r>
      </w:hyperlink>
      <w:r>
        <w:t xml:space="preserve">.</w:t>
      </w:r>
    </w:p>
    <w:bookmarkEnd w:id="172"/>
    <w:bookmarkStart w:id="1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
          <w:iCs/>
        </w:rPr>
        <w:t xml:space="preserve">Statistics and Computing</w:t>
      </w:r>
      <w:r>
        <w:t xml:space="preserve"> </w:t>
      </w:r>
      <w:r>
        <w:t xml:space="preserve">10 (3): 209–29.</w:t>
      </w:r>
      <w:r>
        <w:t xml:space="preserve"> </w:t>
      </w:r>
      <w:hyperlink r:id="rId173">
        <w:r>
          <w:rPr>
            <w:rStyle w:val="Hyperlink"/>
          </w:rPr>
          <w:t xml:space="preserve">https://doi.org/10.1023/A:1008987426876</w:t>
        </w:r>
      </w:hyperlink>
      <w:r>
        <w:t xml:space="preserve">.</w:t>
      </w:r>
    </w:p>
    <w:bookmarkEnd w:id="174"/>
    <w:bookmarkStart w:id="176"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
          <w:iCs/>
        </w:rPr>
        <w:t xml:space="preserve">Expert Opinion on Drug Discovery</w:t>
      </w:r>
      <w:r>
        <w:t xml:space="preserve"> </w:t>
      </w:r>
      <w:r>
        <w:t xml:space="preserve">13 (7): 671–83.</w:t>
      </w:r>
      <w:r>
        <w:t xml:space="preserve"> </w:t>
      </w:r>
      <w:hyperlink r:id="rId175">
        <w:r>
          <w:rPr>
            <w:rStyle w:val="Hyperlink"/>
          </w:rPr>
          <w:t xml:space="preserve">https://doi.org/10.1080/17460441.2018.1458090</w:t>
        </w:r>
      </w:hyperlink>
      <w:r>
        <w:t xml:space="preserve">.</w:t>
      </w:r>
    </w:p>
    <w:bookmarkEnd w:id="176"/>
    <w:bookmarkStart w:id="178"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
          <w:iCs/>
        </w:rPr>
        <w:t xml:space="preserve">Health Services Research</w:t>
      </w:r>
      <w:r>
        <w:t xml:space="preserve"> </w:t>
      </w:r>
      <w:r>
        <w:t xml:space="preserve">47 (1pt1): 255–74.</w:t>
      </w:r>
      <w:r>
        <w:t xml:space="preserve"> </w:t>
      </w:r>
      <w:hyperlink r:id="rId177">
        <w:r>
          <w:rPr>
            <w:rStyle w:val="Hyperlink"/>
          </w:rPr>
          <w:t xml:space="preserve">https://doi.org/10.1111/j.1475-6773.2011.01314.x</w:t>
        </w:r>
      </w:hyperlink>
      <w:r>
        <w:t xml:space="preserve">.</w:t>
      </w:r>
    </w:p>
    <w:bookmarkEnd w:id="178"/>
    <w:bookmarkStart w:id="180"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
          <w:iCs/>
        </w:rPr>
        <w:t xml:space="preserve">Addictive Behaviors</w:t>
      </w:r>
      <w:r>
        <w:t xml:space="preserve"> </w:t>
      </w:r>
      <w:r>
        <w:t xml:space="preserve">51 (December): 93–99.</w:t>
      </w:r>
      <w:r>
        <w:t xml:space="preserve"> </w:t>
      </w:r>
      <w:hyperlink r:id="rId179">
        <w:r>
          <w:rPr>
            <w:rStyle w:val="Hyperlink"/>
          </w:rPr>
          <w:t xml:space="preserve">https://doi.org/10.1016/j.addbeh.2015.07.019</w:t>
        </w:r>
      </w:hyperlink>
      <w:r>
        <w:t xml:space="preserve">.</w:t>
      </w:r>
    </w:p>
    <w:bookmarkEnd w:id="180"/>
    <w:bookmarkStart w:id="182"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
          <w:iCs/>
        </w:rPr>
        <w:t xml:space="preserve">Journal of Studies on Alcohol and Drugs</w:t>
      </w:r>
      <w:r>
        <w:t xml:space="preserve"> </w:t>
      </w:r>
      <w:r>
        <w:t xml:space="preserve">81 (4): 426–35.</w:t>
      </w:r>
      <w:r>
        <w:t xml:space="preserve"> </w:t>
      </w:r>
      <w:hyperlink r:id="rId181">
        <w:r>
          <w:rPr>
            <w:rStyle w:val="Hyperlink"/>
          </w:rPr>
          <w:t xml:space="preserve">https://doi.org/10.15288/jsad.2020.81.426</w:t>
        </w:r>
      </w:hyperlink>
      <w:r>
        <w:t xml:space="preserve">.</w:t>
      </w:r>
    </w:p>
    <w:bookmarkEnd w:id="182"/>
    <w:bookmarkStart w:id="184"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
          <w:iCs/>
        </w:rPr>
        <w:t xml:space="preserve">Drug and Alcohol Review</w:t>
      </w:r>
      <w:r>
        <w:t xml:space="preserve"> </w:t>
      </w:r>
      <w:r>
        <w:t xml:space="preserve">31 (5): 638–44.</w:t>
      </w:r>
      <w:r>
        <w:t xml:space="preserve"> </w:t>
      </w:r>
      <w:hyperlink r:id="rId183">
        <w:r>
          <w:rPr>
            <w:rStyle w:val="Hyperlink"/>
          </w:rPr>
          <w:t xml:space="preserve">https://doi.org/10.1111/j.1465-3362.2012.00465.x</w:t>
        </w:r>
      </w:hyperlink>
      <w:r>
        <w:t xml:space="preserve">.</w:t>
      </w:r>
    </w:p>
    <w:bookmarkEnd w:id="184"/>
    <w:bookmarkStart w:id="186"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
          <w:iCs/>
        </w:rPr>
        <w:t xml:space="preserve">JAMA Psychiatry</w:t>
      </w:r>
      <w:r>
        <w:t xml:space="preserve"> </w:t>
      </w:r>
      <w:r>
        <w:t xml:space="preserve">78 (12): 1384–90.</w:t>
      </w:r>
      <w:r>
        <w:t xml:space="preserve"> </w:t>
      </w:r>
      <w:hyperlink r:id="rId185">
        <w:r>
          <w:rPr>
            <w:rStyle w:val="Hyperlink"/>
          </w:rPr>
          <w:t xml:space="preserve">https://doi.org/10.1001/jamapsychiatry.2021.2500</w:t>
        </w:r>
      </w:hyperlink>
      <w:r>
        <w:t xml:space="preserve">.</w:t>
      </w:r>
    </w:p>
    <w:bookmarkEnd w:id="186"/>
    <w:bookmarkStart w:id="1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87">
        <w:r>
          <w:rPr>
            <w:rStyle w:val="Hyperlink"/>
          </w:rPr>
          <w:t xml:space="preserve">https://doi.org/10.1001/jamanetworkopen.2020.5852</w:t>
        </w:r>
      </w:hyperlink>
      <w:r>
        <w:t xml:space="preserve">.</w:t>
      </w:r>
    </w:p>
    <w:bookmarkEnd w:id="188"/>
    <w:bookmarkStart w:id="190"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
          <w:iCs/>
        </w:rPr>
        <w:t xml:space="preserve">Psychology of Addictive Behaviors : Journal of the Society of Psychologists in Addictive Behaviors</w:t>
      </w:r>
      <w:r>
        <w:t xml:space="preserve"> </w:t>
      </w:r>
      <w:r>
        <w:t xml:space="preserve">27 (1): 307–14.</w:t>
      </w:r>
      <w:r>
        <w:t xml:space="preserve"> </w:t>
      </w:r>
      <w:hyperlink r:id="rId189">
        <w:r>
          <w:rPr>
            <w:rStyle w:val="Hyperlink"/>
          </w:rPr>
          <w:t xml:space="preserve">https://doi.org/10.1037/a0028445</w:t>
        </w:r>
      </w:hyperlink>
      <w:r>
        <w:t xml:space="preserve">.</w:t>
      </w:r>
    </w:p>
    <w:bookmarkEnd w:id="190"/>
    <w:bookmarkStart w:id="192"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
          <w:iCs/>
        </w:rPr>
        <w:t xml:space="preserve">Addiction</w:t>
      </w:r>
      <w:r>
        <w:t xml:space="preserve"> </w:t>
      </w:r>
      <w:r>
        <w:t xml:space="preserve">112 (12): 2086–94.</w:t>
      </w:r>
      <w:r>
        <w:t xml:space="preserve"> </w:t>
      </w:r>
      <w:hyperlink r:id="rId191">
        <w:r>
          <w:rPr>
            <w:rStyle w:val="Hyperlink"/>
          </w:rPr>
          <w:t xml:space="preserve">https://doi.org/10.1111/add.13818</w:t>
        </w:r>
      </w:hyperlink>
      <w:r>
        <w:t xml:space="preserve">.</w:t>
      </w:r>
    </w:p>
    <w:bookmarkEnd w:id="192"/>
    <w:bookmarkStart w:id="194"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
          <w:iCs/>
        </w:rPr>
        <w:t xml:space="preserve">Journal of General Internal Medicine</w:t>
      </w:r>
      <w:r>
        <w:t xml:space="preserve"> </w:t>
      </w:r>
      <w:r>
        <w:t xml:space="preserve">16 (9): 606–13.</w:t>
      </w:r>
      <w:r>
        <w:t xml:space="preserve"> </w:t>
      </w:r>
      <w:hyperlink r:id="rId193">
        <w:r>
          <w:rPr>
            <w:rStyle w:val="Hyperlink"/>
          </w:rPr>
          <w:t xml:space="preserve">https://doi.org/10.1046/j.1525-1497.2001.016009606.x</w:t>
        </w:r>
      </w:hyperlink>
      <w:r>
        <w:t xml:space="preserve">.</w:t>
      </w:r>
    </w:p>
    <w:bookmarkEnd w:id="194"/>
    <w:bookmarkStart w:id="196"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
          <w:iCs/>
        </w:rPr>
        <w:t xml:space="preserve">Journal of Cheminformatics</w:t>
      </w:r>
      <w:r>
        <w:t xml:space="preserve"> </w:t>
      </w:r>
      <w:r>
        <w:t xml:space="preserve">6 (March).</w:t>
      </w:r>
      <w:r>
        <w:t xml:space="preserve"> </w:t>
      </w:r>
      <w:hyperlink r:id="rId195">
        <w:r>
          <w:rPr>
            <w:rStyle w:val="Hyperlink"/>
          </w:rPr>
          <w:t xml:space="preserve">https://doi.org/10.1186/1758-2946-6-10</w:t>
        </w:r>
      </w:hyperlink>
      <w:r>
        <w:t xml:space="preserve">.</w:t>
      </w:r>
    </w:p>
    <w:bookmarkEnd w:id="196"/>
    <w:bookmarkStart w:id="19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97"/>
    <w:bookmarkStart w:id="19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98">
        <w:r>
          <w:rPr>
            <w:rStyle w:val="Hyperlink"/>
          </w:rPr>
          <w:t xml:space="preserve">https://doi.org/10.1007/978-1-4614-6849-3</w:t>
        </w:r>
      </w:hyperlink>
      <w:r>
        <w:t xml:space="preserve">.</w:t>
      </w:r>
    </w:p>
    <w:bookmarkEnd w:id="199"/>
    <w:bookmarkStart w:id="20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200"/>
    <w:bookmarkStart w:id="202"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
          <w:iCs/>
        </w:rPr>
        <w:t xml:space="preserve">International Journal of Environmental Research and Public Health</w:t>
      </w:r>
      <w:r>
        <w:t xml:space="preserve"> </w:t>
      </w:r>
      <w:r>
        <w:t xml:space="preserve">18 (5): 2584.</w:t>
      </w:r>
      <w:r>
        <w:t xml:space="preserve"> </w:t>
      </w:r>
      <w:hyperlink r:id="rId201">
        <w:r>
          <w:rPr>
            <w:rStyle w:val="Hyperlink"/>
          </w:rPr>
          <w:t xml:space="preserve">https://doi.org/10.3390/ijerph18052584</w:t>
        </w:r>
      </w:hyperlink>
      <w:r>
        <w:t xml:space="preserve">.</w:t>
      </w:r>
    </w:p>
    <w:bookmarkEnd w:id="202"/>
    <w:bookmarkStart w:id="204"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
          <w:iCs/>
        </w:rPr>
        <w:t xml:space="preserve">Applied Cognitive Psychology</w:t>
      </w:r>
      <w:r>
        <w:t xml:space="preserve"> </w:t>
      </w:r>
      <w:r>
        <w:t xml:space="preserve">24 (7): 1003–20.</w:t>
      </w:r>
      <w:r>
        <w:t xml:space="preserve"> </w:t>
      </w:r>
      <w:hyperlink r:id="rId203">
        <w:r>
          <w:rPr>
            <w:rStyle w:val="Hyperlink"/>
          </w:rPr>
          <w:t xml:space="preserve">https://doi.org/10.1002/acp.1602</w:t>
        </w:r>
      </w:hyperlink>
      <w:r>
        <w:t xml:space="preserve">.</w:t>
      </w:r>
    </w:p>
    <w:bookmarkEnd w:id="204"/>
    <w:bookmarkStart w:id="206"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
          <w:iCs/>
        </w:rPr>
        <w:t xml:space="preserve">The Lancet. Respiratory Medicine</w:t>
      </w:r>
      <w:r>
        <w:t xml:space="preserve"> </w:t>
      </w:r>
      <w:r>
        <w:t xml:space="preserve">3 (2): 131–38.</w:t>
      </w:r>
      <w:r>
        <w:t xml:space="preserve"> </w:t>
      </w:r>
      <w:hyperlink r:id="rId205">
        <w:r>
          <w:rPr>
            <w:rStyle w:val="Hyperlink"/>
          </w:rPr>
          <w:t xml:space="preserve">https://doi.org/10.1016/S2213-2600(14)70294-2</w:t>
        </w:r>
      </w:hyperlink>
      <w:r>
        <w:t xml:space="preserve">.</w:t>
      </w:r>
    </w:p>
    <w:bookmarkEnd w:id="206"/>
    <w:bookmarkStart w:id="208"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
          <w:iCs/>
        </w:rPr>
        <w:t xml:space="preserve">European Journal of Psychotraumatology</w:t>
      </w:r>
      <w:r>
        <w:t xml:space="preserve"> </w:t>
      </w:r>
      <w:r>
        <w:t xml:space="preserve">11 (1): 1729633.</w:t>
      </w:r>
      <w:r>
        <w:t xml:space="preserve"> </w:t>
      </w:r>
      <w:hyperlink r:id="rId207">
        <w:r>
          <w:rPr>
            <w:rStyle w:val="Hyperlink"/>
          </w:rPr>
          <w:t xml:space="preserve">https://doi.org/10.1080/20008198.2020.1729633</w:t>
        </w:r>
      </w:hyperlink>
      <w:r>
        <w:t xml:space="preserve">.</w:t>
      </w:r>
    </w:p>
    <w:bookmarkEnd w:id="208"/>
    <w:bookmarkStart w:id="210"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
          <w:iCs/>
        </w:rPr>
        <w:t xml:space="preserve">CNS Drugs</w:t>
      </w:r>
      <w:r>
        <w:t xml:space="preserve"> </w:t>
      </w:r>
      <w:r>
        <w:t xml:space="preserve">18 (4): 251–67.</w:t>
      </w:r>
      <w:r>
        <w:t xml:space="preserve"> </w:t>
      </w:r>
      <w:hyperlink r:id="rId209">
        <w:r>
          <w:rPr>
            <w:rStyle w:val="Hyperlink"/>
          </w:rPr>
          <w:t xml:space="preserve">https://doi.org/10.2165/00023210-200418040-00005</w:t>
        </w:r>
      </w:hyperlink>
      <w:r>
        <w:t xml:space="preserve">.</w:t>
      </w:r>
    </w:p>
    <w:bookmarkEnd w:id="210"/>
    <w:bookmarkStart w:id="212"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
          <w:iCs/>
        </w:rPr>
        <w:t xml:space="preserve">Cochrane Database of Systematic Reviews</w:t>
      </w:r>
      <w:r>
        <w:t xml:space="preserve">, no. 4.</w:t>
      </w:r>
      <w:r>
        <w:t xml:space="preserve"> </w:t>
      </w:r>
      <w:hyperlink r:id="rId211">
        <w:r>
          <w:rPr>
            <w:rStyle w:val="Hyperlink"/>
          </w:rPr>
          <w:t xml:space="preserve">https://doi.org/10.1002/14651858.CD013308</w:t>
        </w:r>
      </w:hyperlink>
      <w:r>
        <w:t xml:space="preserve">.</w:t>
      </w:r>
    </w:p>
    <w:bookmarkEnd w:id="212"/>
    <w:bookmarkStart w:id="213"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213"/>
    <w:bookmarkStart w:id="215"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
          <w:iCs/>
        </w:rPr>
        <w:t xml:space="preserve">Genome</w:t>
      </w:r>
      <w:r>
        <w:t xml:space="preserve"> </w:t>
      </w:r>
      <w:r>
        <w:t xml:space="preserve">64 (4): 416–25.</w:t>
      </w:r>
      <w:r>
        <w:t xml:space="preserve"> </w:t>
      </w:r>
      <w:hyperlink r:id="rId214">
        <w:r>
          <w:rPr>
            <w:rStyle w:val="Hyperlink"/>
          </w:rPr>
          <w:t xml:space="preserve">https://doi.org/10.1139/gen-2020-0131</w:t>
        </w:r>
      </w:hyperlink>
      <w:r>
        <w:t xml:space="preserve">.</w:t>
      </w:r>
    </w:p>
    <w:bookmarkEnd w:id="215"/>
    <w:bookmarkStart w:id="217"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 </w:t>
      </w:r>
      <w:r>
        <w:t xml:space="preserve">5 (9): 1315–16.</w:t>
      </w:r>
      <w:r>
        <w:t xml:space="preserve"> </w:t>
      </w:r>
      <w:hyperlink r:id="rId216">
        <w:r>
          <w:rPr>
            <w:rStyle w:val="Hyperlink"/>
          </w:rPr>
          <w:t xml:space="preserve">https://doi.org/10.1097/JTO.0b013e3181ec173d</w:t>
        </w:r>
      </w:hyperlink>
      <w:r>
        <w:t xml:space="preserve">.</w:t>
      </w:r>
    </w:p>
    <w:bookmarkEnd w:id="217"/>
    <w:bookmarkStart w:id="219"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
          <w:iCs/>
        </w:rPr>
        <w:t xml:space="preserve">Perceptual and Motor Skills</w:t>
      </w:r>
      <w:r>
        <w:t xml:space="preserve"> </w:t>
      </w:r>
      <w:r>
        <w:t xml:space="preserve">112 (2): 331–48.</w:t>
      </w:r>
      <w:r>
        <w:t xml:space="preserve"> </w:t>
      </w:r>
      <w:hyperlink r:id="rId218">
        <w:r>
          <w:rPr>
            <w:rStyle w:val="Hyperlink"/>
          </w:rPr>
          <w:t xml:space="preserve">https://doi.org/10.2466/03.11.PMS.112.2.331-348</w:t>
        </w:r>
      </w:hyperlink>
      <w:r>
        <w:t xml:space="preserve">.</w:t>
      </w:r>
    </w:p>
    <w:bookmarkEnd w:id="219"/>
    <w:bookmarkStart w:id="221"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
          <w:iCs/>
        </w:rPr>
        <w:t xml:space="preserve">PloS One</w:t>
      </w:r>
      <w:r>
        <w:t xml:space="preserve"> </w:t>
      </w:r>
      <w:r>
        <w:t xml:space="preserve">19 (3): e0295970.</w:t>
      </w:r>
      <w:r>
        <w:t xml:space="preserve"> </w:t>
      </w:r>
      <w:hyperlink r:id="rId220">
        <w:r>
          <w:rPr>
            <w:rStyle w:val="Hyperlink"/>
          </w:rPr>
          <w:t xml:space="preserve">https://doi.org/10.1371/journal.pone.0295970</w:t>
        </w:r>
      </w:hyperlink>
      <w:r>
        <w:t xml:space="preserve">.</w:t>
      </w:r>
    </w:p>
    <w:bookmarkEnd w:id="221"/>
    <w:bookmarkStart w:id="223"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
          <w:iCs/>
        </w:rPr>
        <w:t xml:space="preserve">Annual Review of Public Health</w:t>
      </w:r>
      <w:r>
        <w:t xml:space="preserve"> </w:t>
      </w:r>
      <w:r>
        <w:t xml:space="preserve">39 (April): 95–112.</w:t>
      </w:r>
      <w:r>
        <w:t xml:space="preserve"> </w:t>
      </w:r>
      <w:hyperlink r:id="rId222">
        <w:r>
          <w:rPr>
            <w:rStyle w:val="Hyperlink"/>
          </w:rPr>
          <w:t xml:space="preserve">https://doi.org/10.1146/annurev-publhealth-040617-014208</w:t>
        </w:r>
      </w:hyperlink>
      <w:r>
        <w:t xml:space="preserve">.</w:t>
      </w:r>
    </w:p>
    <w:bookmarkEnd w:id="223"/>
    <w:bookmarkStart w:id="224"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
          <w:iCs/>
        </w:rPr>
        <w:t xml:space="preserve">NACCHO News</w:t>
      </w:r>
      <w:r>
        <w:t xml:space="preserve"> </w:t>
      </w:r>
      <w:r>
        <w:t xml:space="preserve">12(3) (10): 13.</w:t>
      </w:r>
    </w:p>
    <w:bookmarkEnd w:id="224"/>
    <w:bookmarkStart w:id="226" w:name="Xca20c04262f42bd319e9e1cf7e0699591bb2b86"/>
    <w:p>
      <w:pPr>
        <w:pStyle w:val="Bibliography"/>
      </w:pPr>
      <w:r>
        <w:t xml:space="preserve">National Center for Chronic Disease Prevention and Health Promotion (US) Office on Smoking and Health. 2014.</w:t>
      </w:r>
      <w:r>
        <w:t xml:space="preserve"> </w:t>
      </w:r>
      <w:hyperlink r:id="rId225">
        <w:r>
          <w:rPr>
            <w:rStyle w:val="Hyperlink"/>
            <w:i/>
            <w:iCs/>
          </w:rPr>
          <w:t xml:space="preserve">The</w:t>
        </w:r>
        <w:r>
          <w:rPr>
            <w:rStyle w:val="Hyperlink"/>
            <w:i/>
            <w:iCs/>
          </w:rPr>
          <w:t xml:space="preserve"> </w:t>
        </w:r>
        <w:r>
          <w:rPr>
            <w:rStyle w:val="Hyperlink"/>
            <w:i/>
            <w:iCs/>
          </w:rPr>
          <w:t xml:space="preserve">Health Consequences</w:t>
        </w:r>
        <w:r>
          <w:rPr>
            <w:rStyle w:val="Hyperlink"/>
            <w:i/>
            <w:iCs/>
          </w:rPr>
          <w:t xml:space="preserve"> </w:t>
        </w:r>
        <w:r>
          <w:rPr>
            <w:rStyle w:val="Hyperlink"/>
            <w:i/>
            <w:iCs/>
          </w:rPr>
          <w:t xml:space="preserve">of</w:t>
        </w:r>
        <w:r>
          <w:rPr>
            <w:rStyle w:val="Hyperlink"/>
            <w:i/>
            <w:iCs/>
          </w:rPr>
          <w:t xml:space="preserve"> </w:t>
        </w:r>
        <w:r>
          <w:rPr>
            <w:rStyle w:val="Hyperlink"/>
            <w:i/>
            <w:iCs/>
          </w:rPr>
          <w:t xml:space="preserve">Smoking</w:t>
        </w:r>
        <w:r>
          <w:rPr>
            <w:rStyle w:val="Hyperlink"/>
            <w:i/>
            <w:iCs/>
          </w:rPr>
          <w:t xml:space="preserve">—50</w:t>
        </w:r>
        <w:r>
          <w:rPr>
            <w:rStyle w:val="Hyperlink"/>
            <w:i/>
            <w:iCs/>
          </w:rPr>
          <w:t xml:space="preserve"> </w:t>
        </w:r>
        <w:r>
          <w:rPr>
            <w:rStyle w:val="Hyperlink"/>
            <w:i/>
            <w:iCs/>
          </w:rPr>
          <w:t xml:space="preserve">Years</w:t>
        </w:r>
        <w:r>
          <w:rPr>
            <w:rStyle w:val="Hyperlink"/>
            <w:i/>
            <w:iCs/>
          </w:rPr>
          <w:t xml:space="preserve"> </w:t>
        </w:r>
        <w:r>
          <w:rPr>
            <w:rStyle w:val="Hyperlink"/>
            <w:i/>
            <w:iCs/>
          </w:rPr>
          <w:t xml:space="preserve">of</w:t>
        </w:r>
        <w:r>
          <w:rPr>
            <w:rStyle w:val="Hyperlink"/>
            <w:i/>
            <w:iCs/>
          </w:rPr>
          <w:t xml:space="preserve"> </w:t>
        </w:r>
        <w:r>
          <w:rPr>
            <w:rStyle w:val="Hyperlink"/>
            <w:i/>
            <w:iCs/>
          </w:rPr>
          <w:t xml:space="preserve">Progress</w:t>
        </w:r>
        <w:r>
          <w:rPr>
            <w:rStyle w:val="Hyperlink"/>
            <w:i/>
            <w:iCs/>
          </w:rPr>
          <w:t xml:space="preserve">:</w:t>
        </w:r>
        <w:r>
          <w:rPr>
            <w:rStyle w:val="Hyperlink"/>
            <w:i/>
            <w:iCs/>
          </w:rPr>
          <w:t xml:space="preserve"> </w:t>
        </w:r>
        <w:r>
          <w:rPr>
            <w:rStyle w:val="Hyperlink"/>
            <w:i/>
            <w:iCs/>
          </w:rPr>
          <w:t xml:space="preserve">A Report</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26"/>
    <w:bookmarkStart w:id="228"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
          <w:iCs/>
        </w:rPr>
        <w:t xml:space="preserve">Annals of Internal Medicine</w:t>
      </w:r>
      <w:r>
        <w:t xml:space="preserve"> </w:t>
      </w:r>
      <w:r>
        <w:t xml:space="preserve">131 (7): 485–91.</w:t>
      </w:r>
      <w:r>
        <w:t xml:space="preserve"> </w:t>
      </w:r>
      <w:hyperlink r:id="rId227">
        <w:r>
          <w:rPr>
            <w:rStyle w:val="Hyperlink"/>
          </w:rPr>
          <w:t xml:space="preserve">https://doi.org/10.7326/0003-4819-131-7-199910050-00002</w:t>
        </w:r>
      </w:hyperlink>
      <w:r>
        <w:t xml:space="preserve">.</w:t>
      </w:r>
    </w:p>
    <w:bookmarkEnd w:id="228"/>
    <w:bookmarkStart w:id="229"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29"/>
    <w:bookmarkStart w:id="2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230">
        <w:r>
          <w:rPr>
            <w:rStyle w:val="Hyperlink"/>
          </w:rPr>
          <w:t xml:space="preserve">https://doi.org/10.1016/j.jsat.2021.108710</w:t>
        </w:r>
      </w:hyperlink>
      <w:r>
        <w:t xml:space="preserve">.</w:t>
      </w:r>
    </w:p>
    <w:bookmarkEnd w:id="231"/>
    <w:bookmarkStart w:id="233"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
          <w:iCs/>
        </w:rPr>
        <w:t xml:space="preserve">Addiction</w:t>
      </w:r>
      <w:r>
        <w:t xml:space="preserve"> </w:t>
      </w:r>
      <w:r>
        <w:t xml:space="preserve">112 (12): 2096–97.</w:t>
      </w:r>
      <w:r>
        <w:t xml:space="preserve"> </w:t>
      </w:r>
      <w:hyperlink r:id="rId232">
        <w:r>
          <w:rPr>
            <w:rStyle w:val="Hyperlink"/>
          </w:rPr>
          <w:t xml:space="preserve">https://doi.org/10.1111/add.14023</w:t>
        </w:r>
      </w:hyperlink>
      <w:r>
        <w:t xml:space="preserve">.</w:t>
      </w:r>
    </w:p>
    <w:bookmarkEnd w:id="233"/>
    <w:bookmarkStart w:id="2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234">
        <w:r>
          <w:rPr>
            <w:rStyle w:val="Hyperlink"/>
          </w:rPr>
          <w:t xml:space="preserve">https://doi.org/10.1016/j.drugalcdep.2019.05.017</w:t>
        </w:r>
      </w:hyperlink>
      <w:r>
        <w:t xml:space="preserve">.</w:t>
      </w:r>
    </w:p>
    <w:bookmarkEnd w:id="235"/>
    <w:bookmarkStart w:id="237"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
          <w:iCs/>
        </w:rPr>
        <w:t xml:space="preserve">Drug and Alcohol Dependence</w:t>
      </w:r>
      <w:r>
        <w:t xml:space="preserve"> </w:t>
      </w:r>
      <w:r>
        <w:t xml:space="preserve">171 (February): 50–58.</w:t>
      </w:r>
      <w:r>
        <w:t xml:space="preserve"> </w:t>
      </w:r>
      <w:hyperlink r:id="rId236">
        <w:r>
          <w:rPr>
            <w:rStyle w:val="Hyperlink"/>
          </w:rPr>
          <w:t xml:space="preserve">https://doi.org/10.1016/j.drugalcdep.2016.11.027</w:t>
        </w:r>
      </w:hyperlink>
      <w:r>
        <w:t xml:space="preserve">.</w:t>
      </w:r>
    </w:p>
    <w:bookmarkEnd w:id="237"/>
    <w:bookmarkStart w:id="239"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
          <w:iCs/>
        </w:rPr>
        <w:t xml:space="preserve">Addiction (Abingdon, England)</w:t>
      </w:r>
      <w:r>
        <w:t xml:space="preserve"> </w:t>
      </w:r>
      <w:r>
        <w:t xml:space="preserve">111 (1): 129–41.</w:t>
      </w:r>
      <w:r>
        <w:t xml:space="preserve"> </w:t>
      </w:r>
      <w:hyperlink r:id="rId238">
        <w:r>
          <w:rPr>
            <w:rStyle w:val="Hyperlink"/>
          </w:rPr>
          <w:t xml:space="preserve">https://doi.org/10.1111/add.13162</w:t>
        </w:r>
      </w:hyperlink>
      <w:r>
        <w:t xml:space="preserve">.</w:t>
      </w:r>
    </w:p>
    <w:bookmarkEnd w:id="239"/>
    <w:bookmarkStart w:id="241"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
          <w:iCs/>
        </w:rPr>
        <w:t xml:space="preserve">Drug and Alcohol Dependence</w:t>
      </w:r>
      <w:r>
        <w:t xml:space="preserve"> </w:t>
      </w:r>
      <w:r>
        <w:t xml:space="preserve">171 (February): 59–65.</w:t>
      </w:r>
      <w:r>
        <w:t xml:space="preserve"> </w:t>
      </w:r>
      <w:hyperlink r:id="rId240">
        <w:r>
          <w:rPr>
            <w:rStyle w:val="Hyperlink"/>
          </w:rPr>
          <w:t xml:space="preserve">https://doi.org/10.1016/j.drugalcdep.2016.11.025</w:t>
        </w:r>
      </w:hyperlink>
      <w:r>
        <w:t xml:space="preserve">.</w:t>
      </w:r>
    </w:p>
    <w:bookmarkEnd w:id="241"/>
    <w:bookmarkStart w:id="243"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
          <w:iCs/>
        </w:rPr>
        <w:t xml:space="preserve">JAMA</w:t>
      </w:r>
      <w:r>
        <w:t xml:space="preserve"> </w:t>
      </w:r>
      <w:r>
        <w:t xml:space="preserve">327 (6): 566–77.</w:t>
      </w:r>
      <w:r>
        <w:t xml:space="preserve"> </w:t>
      </w:r>
      <w:hyperlink r:id="rId242">
        <w:r>
          <w:rPr>
            <w:rStyle w:val="Hyperlink"/>
          </w:rPr>
          <w:t xml:space="preserve">https://doi.org/10.1001/jama.2022.0395</w:t>
        </w:r>
      </w:hyperlink>
      <w:r>
        <w:t xml:space="preserve">.</w:t>
      </w:r>
    </w:p>
    <w:bookmarkEnd w:id="243"/>
    <w:bookmarkStart w:id="245"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
          <w:iCs/>
        </w:rPr>
        <w:t xml:space="preserve">Annual Review of Clinical Psychology</w:t>
      </w:r>
      <w:r>
        <w:t xml:space="preserve"> </w:t>
      </w:r>
      <w:r>
        <w:t xml:space="preserve">9: 675–702.</w:t>
      </w:r>
      <w:r>
        <w:t xml:space="preserve"> </w:t>
      </w:r>
      <w:hyperlink r:id="rId244">
        <w:r>
          <w:rPr>
            <w:rStyle w:val="Hyperlink"/>
          </w:rPr>
          <w:t xml:space="preserve">https://doi.org/10.1146/annurev-clinpsy-050212-185602</w:t>
        </w:r>
      </w:hyperlink>
      <w:r>
        <w:t xml:space="preserve">.</w:t>
      </w:r>
    </w:p>
    <w:bookmarkEnd w:id="245"/>
    <w:bookmarkStart w:id="247"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
          <w:iCs/>
        </w:rPr>
        <w:t xml:space="preserve">Pharmacology Biochemistry and Behavior</w:t>
      </w:r>
      <w:r>
        <w:t xml:space="preserve"> </w:t>
      </w:r>
      <w:r>
        <w:t xml:space="preserve">92 (1): 6–11.</w:t>
      </w:r>
      <w:r>
        <w:t xml:space="preserve"> </w:t>
      </w:r>
      <w:hyperlink r:id="rId246">
        <w:r>
          <w:rPr>
            <w:rStyle w:val="Hyperlink"/>
          </w:rPr>
          <w:t xml:space="preserve">https://doi.org/10.1016/j.pbb.2008.10.016</w:t>
        </w:r>
      </w:hyperlink>
      <w:r>
        <w:t xml:space="preserve">.</w:t>
      </w:r>
    </w:p>
    <w:bookmarkEnd w:id="247"/>
    <w:bookmarkStart w:id="249"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
          <w:iCs/>
        </w:rPr>
        <w:t xml:space="preserve">Addiction</w:t>
      </w:r>
      <w:r>
        <w:t xml:space="preserve"> </w:t>
      </w:r>
      <w:r>
        <w:t xml:space="preserve">114 (2): 304–14.</w:t>
      </w:r>
      <w:r>
        <w:t xml:space="preserve"> </w:t>
      </w:r>
      <w:hyperlink r:id="rId248">
        <w:r>
          <w:rPr>
            <w:rStyle w:val="Hyperlink"/>
          </w:rPr>
          <w:t xml:space="preserve">https://doi.org/10.1111/add.14450</w:t>
        </w:r>
      </w:hyperlink>
      <w:r>
        <w:t xml:space="preserve">.</w:t>
      </w:r>
    </w:p>
    <w:bookmarkEnd w:id="249"/>
    <w:bookmarkStart w:id="251"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
          <w:iCs/>
        </w:rPr>
        <w:t xml:space="preserve">Cancer Prevention Research</w:t>
      </w:r>
      <w:r>
        <w:t xml:space="preserve"> </w:t>
      </w:r>
      <w:r>
        <w:t xml:space="preserve">13 (3): 261–72.</w:t>
      </w:r>
      <w:r>
        <w:t xml:space="preserve"> </w:t>
      </w:r>
      <w:hyperlink r:id="rId250">
        <w:r>
          <w:rPr>
            <w:rStyle w:val="Hyperlink"/>
          </w:rPr>
          <w:t xml:space="preserve">https://doi.org/10.1158/1940-6207.CAPR-19-0259</w:t>
        </w:r>
      </w:hyperlink>
      <w:r>
        <w:t xml:space="preserve">.</w:t>
      </w:r>
    </w:p>
    <w:bookmarkEnd w:id="251"/>
    <w:bookmarkStart w:id="253"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
          <w:iCs/>
        </w:rPr>
        <w:t xml:space="preserve">Motivation and Emotion</w:t>
      </w:r>
      <w:r>
        <w:t xml:space="preserve"> </w:t>
      </w:r>
      <w:r>
        <w:t xml:space="preserve">29 (2): 83–102.</w:t>
      </w:r>
      <w:r>
        <w:t xml:space="preserve"> </w:t>
      </w:r>
      <w:hyperlink r:id="rId252">
        <w:r>
          <w:rPr>
            <w:rStyle w:val="Hyperlink"/>
          </w:rPr>
          <w:t xml:space="preserve">https://doi.org/10.1007/s11031-005-7955-3</w:t>
        </w:r>
      </w:hyperlink>
      <w:r>
        <w:t xml:space="preserve">.</w:t>
      </w:r>
    </w:p>
    <w:bookmarkEnd w:id="253"/>
    <w:bookmarkStart w:id="255"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
          <w:iCs/>
        </w:rPr>
        <w:t xml:space="preserve">Journal of Psychosomatic Research</w:t>
      </w:r>
      <w:r>
        <w:t xml:space="preserve"> </w:t>
      </w:r>
      <w:r>
        <w:t xml:space="preserve">39 (3): 315–25.</w:t>
      </w:r>
      <w:r>
        <w:t xml:space="preserve"> </w:t>
      </w:r>
      <w:hyperlink r:id="rId254">
        <w:r>
          <w:rPr>
            <w:rStyle w:val="Hyperlink"/>
          </w:rPr>
          <w:t xml:space="preserve">https://doi.org/10.1016/0022-3999(94)00125-O</w:t>
        </w:r>
      </w:hyperlink>
      <w:r>
        <w:t xml:space="preserve">.</w:t>
      </w:r>
    </w:p>
    <w:bookmarkEnd w:id="255"/>
    <w:bookmarkStart w:id="257"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
          <w:iCs/>
        </w:rPr>
        <w:t xml:space="preserve">Psychological Assessment</w:t>
      </w:r>
      <w:r>
        <w:t xml:space="preserve"> </w:t>
      </w:r>
      <w:r>
        <w:t xml:space="preserve">33 (3): 255–66.</w:t>
      </w:r>
      <w:r>
        <w:t xml:space="preserve"> </w:t>
      </w:r>
      <w:hyperlink r:id="rId256">
        <w:r>
          <w:rPr>
            <w:rStyle w:val="Hyperlink"/>
          </w:rPr>
          <w:t xml:space="preserve">https://doi.org/10.1037/pas0000978</w:t>
        </w:r>
      </w:hyperlink>
      <w:r>
        <w:t xml:space="preserve">.</w:t>
      </w:r>
    </w:p>
    <w:bookmarkEnd w:id="257"/>
    <w:bookmarkStart w:id="259"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
          <w:iCs/>
        </w:rPr>
        <w:t xml:space="preserve">Nicotine &amp; Tobacco Research</w:t>
      </w:r>
      <w:r>
        <w:t xml:space="preserve"> </w:t>
      </w:r>
      <w:r>
        <w:t xml:space="preserve">12 (5): 489–99.</w:t>
      </w:r>
      <w:r>
        <w:t xml:space="preserve"> </w:t>
      </w:r>
      <w:hyperlink r:id="rId258">
        <w:r>
          <w:rPr>
            <w:rStyle w:val="Hyperlink"/>
          </w:rPr>
          <w:t xml:space="preserve">https://doi.org/10.1093/ntr/ntq032</w:t>
        </w:r>
      </w:hyperlink>
      <w:r>
        <w:t xml:space="preserve">.</w:t>
      </w:r>
    </w:p>
    <w:bookmarkEnd w:id="259"/>
    <w:bookmarkStart w:id="261"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
          <w:iCs/>
        </w:rPr>
        <w:t xml:space="preserve">The British Journal of Psychiatry: The Journal of Mental Science</w:t>
      </w:r>
      <w:r>
        <w:t xml:space="preserve"> </w:t>
      </w:r>
      <w:r>
        <w:t xml:space="preserve">167 (1): 99–103.</w:t>
      </w:r>
      <w:r>
        <w:t xml:space="preserve"> </w:t>
      </w:r>
      <w:hyperlink r:id="rId260">
        <w:r>
          <w:rPr>
            <w:rStyle w:val="Hyperlink"/>
          </w:rPr>
          <w:t xml:space="preserve">https://doi.org/10.1192/bjp.167.1.99</w:t>
        </w:r>
      </w:hyperlink>
      <w:r>
        <w:t xml:space="preserve">.</w:t>
      </w:r>
    </w:p>
    <w:bookmarkEnd w:id="261"/>
    <w:bookmarkStart w:id="263"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
          <w:iCs/>
        </w:rPr>
        <w:t xml:space="preserve">Journal of Smoking Cessation</w:t>
      </w:r>
      <w:r>
        <w:t xml:space="preserve"> </w:t>
      </w:r>
      <w:r>
        <w:t xml:space="preserve">15 (2): 94–108.</w:t>
      </w:r>
      <w:r>
        <w:t xml:space="preserve"> </w:t>
      </w:r>
      <w:hyperlink r:id="rId262">
        <w:r>
          <w:rPr>
            <w:rStyle w:val="Hyperlink"/>
          </w:rPr>
          <w:t xml:space="preserve">https://doi.org/10.1017/jsc.2020.11</w:t>
        </w:r>
      </w:hyperlink>
      <w:r>
        <w:t xml:space="preserve">.</w:t>
      </w:r>
    </w:p>
    <w:bookmarkEnd w:id="263"/>
    <w:bookmarkStart w:id="26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264">
        <w:r>
          <w:rPr>
            <w:rStyle w:val="Hyperlink"/>
          </w:rPr>
          <w:t xml:space="preserve">https://doi.org/10.1037/adb0000666</w:t>
        </w:r>
      </w:hyperlink>
      <w:r>
        <w:t xml:space="preserve">.</w:t>
      </w:r>
    </w:p>
    <w:bookmarkEnd w:id="265"/>
    <w:bookmarkStart w:id="266"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66"/>
    <w:bookmarkStart w:id="268"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
          <w:iCs/>
        </w:rPr>
        <w:t xml:space="preserve">Psychological Assessment</w:t>
      </w:r>
      <w:r>
        <w:t xml:space="preserve"> </w:t>
      </w:r>
      <w:r>
        <w:t xml:space="preserve">19 (2): 176–88.</w:t>
      </w:r>
      <w:r>
        <w:t xml:space="preserve"> </w:t>
      </w:r>
      <w:hyperlink r:id="rId267">
        <w:r>
          <w:rPr>
            <w:rStyle w:val="Hyperlink"/>
          </w:rPr>
          <w:t xml:space="preserve">https://doi.org/10.1037/1040-3590.19.2.176</w:t>
        </w:r>
      </w:hyperlink>
      <w:r>
        <w:t xml:space="preserve">.</w:t>
      </w:r>
    </w:p>
    <w:bookmarkEnd w:id="268"/>
    <w:bookmarkStart w:id="269"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69"/>
    <w:bookmarkStart w:id="271"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
          <w:iCs/>
        </w:rPr>
        <w:t xml:space="preserve">Addiction (Abingdon, England)</w:t>
      </w:r>
      <w:r>
        <w:t xml:space="preserve"> </w:t>
      </w:r>
      <w:r>
        <w:t xml:space="preserve">88 (4): 533–39.</w:t>
      </w:r>
      <w:r>
        <w:t xml:space="preserve"> </w:t>
      </w:r>
      <w:hyperlink r:id="rId270">
        <w:r>
          <w:rPr>
            <w:rStyle w:val="Hyperlink"/>
          </w:rPr>
          <w:t xml:space="preserve">https://doi.org/10.1111/j.1360-0443.1993.tb02060.x</w:t>
        </w:r>
      </w:hyperlink>
      <w:r>
        <w:t xml:space="preserve">.</w:t>
      </w:r>
    </w:p>
    <w:bookmarkEnd w:id="271"/>
    <w:bookmarkStart w:id="273"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
          <w:iCs/>
        </w:rPr>
        <w:t xml:space="preserve">Prevention Science: The Official Journal of the Society for Prevention Research</w:t>
      </w:r>
      <w:r>
        <w:t xml:space="preserve"> </w:t>
      </w:r>
      <w:r>
        <w:t xml:space="preserve">10 (4): 387–96.</w:t>
      </w:r>
      <w:r>
        <w:t xml:space="preserve"> </w:t>
      </w:r>
      <w:hyperlink r:id="rId272">
        <w:r>
          <w:rPr>
            <w:rStyle w:val="Hyperlink"/>
          </w:rPr>
          <w:t xml:space="preserve">https://doi.org/10.1007/s11121-009-0141-1</w:t>
        </w:r>
      </w:hyperlink>
      <w:r>
        <w:t xml:space="preserve">.</w:t>
      </w:r>
    </w:p>
    <w:bookmarkEnd w:id="273"/>
    <w:bookmarkStart w:id="275"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
          <w:iCs/>
        </w:rPr>
        <w:t xml:space="preserve">Perspectives on Psychological Science: A Journal of the Association for Psychological Science</w:t>
      </w:r>
      <w:r>
        <w:t xml:space="preserve"> </w:t>
      </w:r>
      <w:r>
        <w:t xml:space="preserve">14 (2): 216–37.</w:t>
      </w:r>
      <w:r>
        <w:t xml:space="preserve"> </w:t>
      </w:r>
      <w:hyperlink r:id="rId274">
        <w:r>
          <w:rPr>
            <w:rStyle w:val="Hyperlink"/>
          </w:rPr>
          <w:t xml:space="preserve">https://doi.org/10.1177/1745691618805436</w:t>
        </w:r>
      </w:hyperlink>
      <w:r>
        <w:t xml:space="preserve">.</w:t>
      </w:r>
    </w:p>
    <w:bookmarkEnd w:id="275"/>
    <w:bookmarkStart w:id="27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276">
        <w:r>
          <w:rPr>
            <w:rStyle w:val="Hyperlink"/>
          </w:rPr>
          <w:t xml:space="preserve">https://doi.org/10.2196/41833</w:t>
        </w:r>
      </w:hyperlink>
      <w:r>
        <w:t xml:space="preserve">.</w:t>
      </w:r>
    </w:p>
    <w:bookmarkEnd w:id="277"/>
    <w:bookmarkStart w:id="27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278">
        <w:r>
          <w:rPr>
            <w:rStyle w:val="Hyperlink"/>
          </w:rPr>
          <w:t xml:space="preserve">https://doi.org/10.31234/osf.io/cgsf7</w:t>
        </w:r>
      </w:hyperlink>
      <w:r>
        <w:t xml:space="preserve">.</w:t>
      </w:r>
    </w:p>
    <w:bookmarkEnd w:id="279"/>
    <w:bookmarkStart w:id="281"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
          <w:iCs/>
        </w:rPr>
        <w:t xml:space="preserve">Journal of Pediatric Psychology</w:t>
      </w:r>
      <w:r>
        <w:t xml:space="preserve"> </w:t>
      </w:r>
      <w:r>
        <w:t xml:space="preserve">39 (2): 204–21.</w:t>
      </w:r>
      <w:r>
        <w:t xml:space="preserve"> </w:t>
      </w:r>
      <w:hyperlink r:id="rId280">
        <w:r>
          <w:rPr>
            <w:rStyle w:val="Hyperlink"/>
          </w:rPr>
          <w:t xml:space="preserve">https://doi.org/10.1093/jpepsy/jst062</w:t>
        </w:r>
      </w:hyperlink>
      <w:r>
        <w:t xml:space="preserve">.</w:t>
      </w:r>
    </w:p>
    <w:bookmarkEnd w:id="281"/>
    <w:bookmarkStart w:id="283"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
          <w:iCs/>
        </w:rPr>
        <w:t xml:space="preserve">Multivariate Behavioral Research</w:t>
      </w:r>
      <w:r>
        <w:t xml:space="preserve"> </w:t>
      </w:r>
      <w:r>
        <w:t xml:space="preserve">48 (2): 241–66.</w:t>
      </w:r>
      <w:r>
        <w:t xml:space="preserve"> </w:t>
      </w:r>
      <w:hyperlink r:id="rId282">
        <w:r>
          <w:rPr>
            <w:rStyle w:val="Hyperlink"/>
          </w:rPr>
          <w:t xml:space="preserve">https://doi.org/10.1080/00273171.2013.763012</w:t>
        </w:r>
      </w:hyperlink>
      <w:r>
        <w:t xml:space="preserve">.</w:t>
      </w:r>
    </w:p>
    <w:bookmarkEnd w:id="283"/>
    <w:bookmarkEnd w:id="284"/>
    <w:bookmarkEnd w:id="285"/>
    <w:bookmarkEnd w:id="2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We fit additional models predicting treatment success at 12 and 26 weeks, and these models had significantly worse performance than our primary 4 week prediction model (See Supplement).</w:t>
      </w:r>
    </w:p>
  </w:footnote>
  <w:footnote w:id="70">
    <w:p>
      <w:pPr>
        <w:pStyle w:val="FootnoteText"/>
      </w:pPr>
      <w:r>
        <w:rPr>
          <w:rStyle w:val="FootnoteReference"/>
        </w:rPr>
        <w:footnoteRef/>
      </w:r>
      <w:r>
        <w:t xml:space="preserve"> </w:t>
      </w:r>
      <w:r>
        <w:t xml:space="preserve">Fifty-three participants (4.9%) did not provide income data and were excluded from this analysis. As a comparison, the overall effect of treatment matching for this sample subset was OR = 1.482,</w:t>
      </w:r>
      <w:r>
        <w:t xml:space="preserve"> </w:t>
      </w:r>
      <w:r>
        <w:rPr>
          <w:i/>
          <w:iCs/>
        </w:rPr>
        <w:t xml:space="preserve">z</w:t>
      </w:r>
      <w:r>
        <w:t xml:space="preserve"> </w:t>
      </w:r>
      <w:r>
        <w:t xml:space="preserve">= 2.712,</w:t>
      </w:r>
      <w:r>
        <w:t xml:space="preserve"> </w:t>
      </w:r>
      <w:r>
        <w:rPr>
          <w:i/>
          <w:iCs/>
        </w:rPr>
        <w:t xml:space="preserve">p</w:t>
      </w:r>
      <w:r>
        <w:t xml:space="preserve"> </w:t>
      </w:r>
      <w:r>
        <w:t xml:space="preserve">= 0.007.</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hyperlink" Id="rId100" Target="https://doi.org/10.1001/jama.2015.19284" TargetMode="External" /><Relationship Type="http://schemas.openxmlformats.org/officeDocument/2006/relationships/hyperlink" Id="rId242" Target="https://doi.org/10.1001/jama.2022.0395" TargetMode="External" /><Relationship Type="http://schemas.openxmlformats.org/officeDocument/2006/relationships/hyperlink" Id="rId187" Target="https://doi.org/10.1001/jamanetworkopen.2020.5852" TargetMode="External" /><Relationship Type="http://schemas.openxmlformats.org/officeDocument/2006/relationships/hyperlink" Id="rId185" Target="https://doi.org/10.1001/jamapsychiatry.2021.2500" TargetMode="External" /><Relationship Type="http://schemas.openxmlformats.org/officeDocument/2006/relationships/hyperlink" Id="rId112" Target="https://doi.org/10.1002/14651858.CD006103.pub7" TargetMode="External" /><Relationship Type="http://schemas.openxmlformats.org/officeDocument/2006/relationships/hyperlink" Id="rId114" Target="https://doi.org/10.1002/14651858.CD009329.pub2" TargetMode="External" /><Relationship Type="http://schemas.openxmlformats.org/officeDocument/2006/relationships/hyperlink" Id="rId211" Target="https://doi.org/10.1002/14651858.CD013308" TargetMode="External" /><Relationship Type="http://schemas.openxmlformats.org/officeDocument/2006/relationships/hyperlink" Id="rId203" Target="https://doi.org/10.1002/acp.1602" TargetMode="External" /><Relationship Type="http://schemas.openxmlformats.org/officeDocument/2006/relationships/hyperlink" Id="rId118" Target="https://doi.org/10.1002/cpt.1971" TargetMode="External" /><Relationship Type="http://schemas.openxmlformats.org/officeDocument/2006/relationships/hyperlink" Id="rId198" Target="https://doi.org/10.1007/978-1-4614-6849-3" TargetMode="External" /><Relationship Type="http://schemas.openxmlformats.org/officeDocument/2006/relationships/hyperlink" Id="rId169" Target="https://doi.org/10.1007/978-1-4614-7138-7" TargetMode="External" /><Relationship Type="http://schemas.openxmlformats.org/officeDocument/2006/relationships/hyperlink" Id="rId128" Target="https://doi.org/10.1007/978-3-319-72206-1" TargetMode="External" /><Relationship Type="http://schemas.openxmlformats.org/officeDocument/2006/relationships/hyperlink" Id="rId107" Target="https://doi.org/10.1007/s10488-016-0718-5" TargetMode="External" /><Relationship Type="http://schemas.openxmlformats.org/officeDocument/2006/relationships/hyperlink" Id="rId105" Target="https://doi.org/10.1007/s10488-020-01065-8" TargetMode="External" /><Relationship Type="http://schemas.openxmlformats.org/officeDocument/2006/relationships/hyperlink" Id="rId252" Target="https://doi.org/10.1007/s11031-005-7955-3" TargetMode="External" /><Relationship Type="http://schemas.openxmlformats.org/officeDocument/2006/relationships/hyperlink" Id="rId272" Target="https://doi.org/10.1007/s11121-009-0141-1" TargetMode="External" /><Relationship Type="http://schemas.openxmlformats.org/officeDocument/2006/relationships/hyperlink" Id="rId254" Target="https://doi.org/10.1016/0022-3999(94)00125-O" TargetMode="External" /><Relationship Type="http://schemas.openxmlformats.org/officeDocument/2006/relationships/hyperlink" Id="rId205" Target="https://doi.org/10.1016/S2213-2600(14)70294-2" TargetMode="External" /><Relationship Type="http://schemas.openxmlformats.org/officeDocument/2006/relationships/hyperlink" Id="rId138" Target="https://doi.org/10.1016/j.addbeh.2003.08.014" TargetMode="External" /><Relationship Type="http://schemas.openxmlformats.org/officeDocument/2006/relationships/hyperlink" Id="rId179" Target="https://doi.org/10.1016/j.addbeh.2015.07.019" TargetMode="External" /><Relationship Type="http://schemas.openxmlformats.org/officeDocument/2006/relationships/hyperlink" Id="rId136" Target="https://doi.org/10.1016/j.addbeh.2016.12.011" TargetMode="External" /><Relationship Type="http://schemas.openxmlformats.org/officeDocument/2006/relationships/hyperlink" Id="rId94" Target="https://doi.org/10.1016/j.addbeh.2017.11.039" TargetMode="External" /><Relationship Type="http://schemas.openxmlformats.org/officeDocument/2006/relationships/hyperlink" Id="rId103" Target="https://doi.org/10.1016/j.addicn.2023.100068" TargetMode="External" /><Relationship Type="http://schemas.openxmlformats.org/officeDocument/2006/relationships/hyperlink" Id="rId160" Target="https://doi.org/10.1016/j.amepre.2017.01.038" TargetMode="External" /><Relationship Type="http://schemas.openxmlformats.org/officeDocument/2006/relationships/hyperlink" Id="rId150" Target="https://doi.org/10.1016/j.biopsych.2020.02.015" TargetMode="External" /><Relationship Type="http://schemas.openxmlformats.org/officeDocument/2006/relationships/hyperlink" Id="rId140" Target="https://doi.org/10.1016/j.brat.2019.103506" TargetMode="External" /><Relationship Type="http://schemas.openxmlformats.org/officeDocument/2006/relationships/hyperlink" Id="rId240" Target="https://doi.org/10.1016/j.drugalcdep.2016.11.025" TargetMode="External" /><Relationship Type="http://schemas.openxmlformats.org/officeDocument/2006/relationships/hyperlink" Id="rId236" Target="https://doi.org/10.1016/j.drugalcdep.2016.11.027" TargetMode="External" /><Relationship Type="http://schemas.openxmlformats.org/officeDocument/2006/relationships/hyperlink" Id="rId234" Target="https://doi.org/10.1016/j.drugalcdep.2019.05.017" TargetMode="External" /><Relationship Type="http://schemas.openxmlformats.org/officeDocument/2006/relationships/hyperlink" Id="rId124" Target="https://doi.org/10.1016/j.jsat.2013.08.004" TargetMode="External" /><Relationship Type="http://schemas.openxmlformats.org/officeDocument/2006/relationships/hyperlink" Id="rId230" Target="https://doi.org/10.1016/j.jsat.2021.108710" TargetMode="External" /><Relationship Type="http://schemas.openxmlformats.org/officeDocument/2006/relationships/hyperlink" Id="rId90" Target="https://doi.org/10.1016/j.jval.2022.04.206" TargetMode="External" /><Relationship Type="http://schemas.openxmlformats.org/officeDocument/2006/relationships/hyperlink" Id="rId120" Target="https://doi.org/10.1016/j.neulet.2016.05.033" TargetMode="External" /><Relationship Type="http://schemas.openxmlformats.org/officeDocument/2006/relationships/hyperlink" Id="rId246" Target="https://doi.org/10.1016/j.pbb.2008.10.016" TargetMode="External" /><Relationship Type="http://schemas.openxmlformats.org/officeDocument/2006/relationships/hyperlink" Id="rId262" Target="https://doi.org/10.1017/jsc.2020.11" TargetMode="External" /><Relationship Type="http://schemas.openxmlformats.org/officeDocument/2006/relationships/hyperlink" Id="rId173" Target="https://doi.org/10.1023/A:1008987426876" TargetMode="External" /><Relationship Type="http://schemas.openxmlformats.org/officeDocument/2006/relationships/hyperlink" Id="rId267" Target="https://doi.org/10.1037/1040-3590.19.2.176" TargetMode="External" /><Relationship Type="http://schemas.openxmlformats.org/officeDocument/2006/relationships/hyperlink" Id="rId189" Target="https://doi.org/10.1037/a0028445" TargetMode="External" /><Relationship Type="http://schemas.openxmlformats.org/officeDocument/2006/relationships/hyperlink" Id="rId264" Target="https://doi.org/10.1037/adb0000666" TargetMode="External" /><Relationship Type="http://schemas.openxmlformats.org/officeDocument/2006/relationships/hyperlink" Id="rId256" Target="https://doi.org/10.1037/pas0000978" TargetMode="External" /><Relationship Type="http://schemas.openxmlformats.org/officeDocument/2006/relationships/hyperlink" Id="rId153" Target="https://doi.org/10.1037/pha0000141" TargetMode="External" /><Relationship Type="http://schemas.openxmlformats.org/officeDocument/2006/relationships/hyperlink" Id="rId155" Target="https://doi.org/10.1038/clpt.2014.124" TargetMode="External" /><Relationship Type="http://schemas.openxmlformats.org/officeDocument/2006/relationships/hyperlink" Id="rId193"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71" Target="https://doi.org/10.1056/NEJMsa1211128" TargetMode="External" /><Relationship Type="http://schemas.openxmlformats.org/officeDocument/2006/relationships/hyperlink" Id="rId282" Target="https://doi.org/10.1080/00273171.2013.763012" TargetMode="External" /><Relationship Type="http://schemas.openxmlformats.org/officeDocument/2006/relationships/hyperlink" Id="rId157" Target="https://doi.org/10.1080/10826084.2019.1691593" TargetMode="External" /><Relationship Type="http://schemas.openxmlformats.org/officeDocument/2006/relationships/hyperlink" Id="rId175" Target="https://doi.org/10.1080/17460441.2018.1458090" TargetMode="External" /><Relationship Type="http://schemas.openxmlformats.org/officeDocument/2006/relationships/hyperlink" Id="rId207" Target="https://doi.org/10.1080/20008198.2020.1729633" TargetMode="External" /><Relationship Type="http://schemas.openxmlformats.org/officeDocument/2006/relationships/hyperlink" Id="rId280" Target="https://doi.org/10.1093/jpepsy/jst062" TargetMode="External" /><Relationship Type="http://schemas.openxmlformats.org/officeDocument/2006/relationships/hyperlink" Id="rId258" Target="https://doi.org/10.1093/ntr/ntq032" TargetMode="External" /><Relationship Type="http://schemas.openxmlformats.org/officeDocument/2006/relationships/hyperlink" Id="rId122" Target="https://doi.org/10.1093/ntr/ntv125" TargetMode="External" /><Relationship Type="http://schemas.openxmlformats.org/officeDocument/2006/relationships/hyperlink" Id="rId132" Target="https://doi.org/10.1093/ntr/nty259" TargetMode="External" /><Relationship Type="http://schemas.openxmlformats.org/officeDocument/2006/relationships/hyperlink" Id="rId216" Target="https://doi.org/10.1097/JTO.0b013e3181ec173d" TargetMode="External" /><Relationship Type="http://schemas.openxmlformats.org/officeDocument/2006/relationships/hyperlink" Id="rId238" Target="https://doi.org/10.1111/add.13162" TargetMode="External" /><Relationship Type="http://schemas.openxmlformats.org/officeDocument/2006/relationships/hyperlink" Id="rId191" Target="https://doi.org/10.1111/add.13818" TargetMode="External" /><Relationship Type="http://schemas.openxmlformats.org/officeDocument/2006/relationships/hyperlink" Id="rId232" Target="https://doi.org/10.1111/add.14023" TargetMode="External" /><Relationship Type="http://schemas.openxmlformats.org/officeDocument/2006/relationships/hyperlink" Id="rId248" Target="https://doi.org/10.1111/add.14450" TargetMode="External" /><Relationship Type="http://schemas.openxmlformats.org/officeDocument/2006/relationships/hyperlink" Id="rId270" Target="https://doi.org/10.1111/j.1360-0443.1993.tb02060.x" TargetMode="External" /><Relationship Type="http://schemas.openxmlformats.org/officeDocument/2006/relationships/hyperlink" Id="rId183" Target="https://doi.org/10.1111/j.1465-3362.2012.00465.x" TargetMode="External" /><Relationship Type="http://schemas.openxmlformats.org/officeDocument/2006/relationships/hyperlink" Id="rId177" Target="https://doi.org/10.1111/j.1475-6773.2011.01314.x" TargetMode="External" /><Relationship Type="http://schemas.openxmlformats.org/officeDocument/2006/relationships/hyperlink" Id="rId214" Target="https://doi.org/10.1139/gen-2020-0131" TargetMode="External" /><Relationship Type="http://schemas.openxmlformats.org/officeDocument/2006/relationships/hyperlink" Id="rId142" Target="https://doi.org/10.1146/annurev-clinpsy-032816-045037" TargetMode="External" /><Relationship Type="http://schemas.openxmlformats.org/officeDocument/2006/relationships/hyperlink" Id="rId244" Target="https://doi.org/10.1146/annurev-clinpsy-050212-185602" TargetMode="External" /><Relationship Type="http://schemas.openxmlformats.org/officeDocument/2006/relationships/hyperlink" Id="rId126" Target="https://doi.org/10.1146/annurev-clinpsy-050817-084746" TargetMode="External" /><Relationship Type="http://schemas.openxmlformats.org/officeDocument/2006/relationships/hyperlink" Id="rId98" Target="https://doi.org/10.1146/annurev-clinpsy-081219-090343" TargetMode="External" /><Relationship Type="http://schemas.openxmlformats.org/officeDocument/2006/relationships/hyperlink" Id="rId222" Target="https://doi.org/10.1146/annurev-publhealth-040617-014208" TargetMode="External" /><Relationship Type="http://schemas.openxmlformats.org/officeDocument/2006/relationships/hyperlink" Id="rId110" Target="https://doi.org/10.1146/annurev.clinpsy.3.022806.091455" TargetMode="External" /><Relationship Type="http://schemas.openxmlformats.org/officeDocument/2006/relationships/hyperlink" Id="rId250" Target="https://doi.org/10.1158/1940-6207.CAPR-19-0259" TargetMode="External" /><Relationship Type="http://schemas.openxmlformats.org/officeDocument/2006/relationships/hyperlink" Id="rId162" Target="https://doi.org/10.1176/appi.ajp.2014.14020138" TargetMode="External" /><Relationship Type="http://schemas.openxmlformats.org/officeDocument/2006/relationships/hyperlink" Id="rId92" Target="https://doi.org/10.1176/appi.books.9780890425596" TargetMode="External" /><Relationship Type="http://schemas.openxmlformats.org/officeDocument/2006/relationships/hyperlink" Id="rId274" Target="https://doi.org/10.1177/1745691618805436" TargetMode="External" /><Relationship Type="http://schemas.openxmlformats.org/officeDocument/2006/relationships/hyperlink" Id="rId195" Target="https://doi.org/10.1186/1758-2946-6-10" TargetMode="External" /><Relationship Type="http://schemas.openxmlformats.org/officeDocument/2006/relationships/hyperlink" Id="rId146" Target="https://doi.org/10.1186/s12889-023-15859-6" TargetMode="External" /><Relationship Type="http://schemas.openxmlformats.org/officeDocument/2006/relationships/hyperlink" Id="rId260" Target="https://doi.org/10.1192/bjp.167.1.99" TargetMode="External" /><Relationship Type="http://schemas.openxmlformats.org/officeDocument/2006/relationships/hyperlink" Id="rId134" Target="https://doi.org/10.1348/0144665031752934" TargetMode="External" /><Relationship Type="http://schemas.openxmlformats.org/officeDocument/2006/relationships/hyperlink" Id="rId164" Target="https://doi.org/10.1371/journal.pone.0286883" TargetMode="External" /><Relationship Type="http://schemas.openxmlformats.org/officeDocument/2006/relationships/hyperlink" Id="rId220" Target="https://doi.org/10.1371/journal.pone.0295970" TargetMode="External" /><Relationship Type="http://schemas.openxmlformats.org/officeDocument/2006/relationships/hyperlink" Id="rId181" Target="https://doi.org/10.15288/jsad.2020.81.426" TargetMode="External" /><Relationship Type="http://schemas.openxmlformats.org/officeDocument/2006/relationships/hyperlink" Id="rId167" Target="https://doi.org/10.15585/mmwr.mm6444a2" TargetMode="External" /><Relationship Type="http://schemas.openxmlformats.org/officeDocument/2006/relationships/hyperlink" Id="rId130" Target="https://doi.org/10.15585/mmwr.mm6946a4" TargetMode="External" /><Relationship Type="http://schemas.openxmlformats.org/officeDocument/2006/relationships/hyperlink" Id="rId116" Target="https://doi.org/10.21231/GNT1-HW21" TargetMode="External" /><Relationship Type="http://schemas.openxmlformats.org/officeDocument/2006/relationships/hyperlink" Id="rId209" Target="https://doi.org/10.2165/00023210-200418040-00005" TargetMode="External" /><Relationship Type="http://schemas.openxmlformats.org/officeDocument/2006/relationships/hyperlink" Id="rId276" Target="https://doi.org/10.2196/41833" TargetMode="External" /><Relationship Type="http://schemas.openxmlformats.org/officeDocument/2006/relationships/hyperlink" Id="rId218" Target="https://doi.org/10.2466/03.11.PMS.112.2.331-348" TargetMode="External" /><Relationship Type="http://schemas.openxmlformats.org/officeDocument/2006/relationships/hyperlink" Id="rId278" Target="https://doi.org/10.31234/osf.io/cgsf7" TargetMode="External" /><Relationship Type="http://schemas.openxmlformats.org/officeDocument/2006/relationships/hyperlink" Id="rId201" Target="https://doi.org/10.3390/ijerph18052584" TargetMode="External" /><Relationship Type="http://schemas.openxmlformats.org/officeDocument/2006/relationships/hyperlink" Id="rId148" Target="https://doi.org/10.3390/info14080426" TargetMode="External" /><Relationship Type="http://schemas.openxmlformats.org/officeDocument/2006/relationships/hyperlink" Id="rId227" Target="https://doi.org/10.7326/0003-4819-131-7-199910050-00002" TargetMode="External" /><Relationship Type="http://schemas.openxmlformats.org/officeDocument/2006/relationships/hyperlink" Id="rId144"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69" Target="https://jjcurtin.github.io/study_match/notebooks\eval_benefit_4wk-preview.html#cell-fig-clin-ben-wk4" TargetMode="External" /><Relationship Type="http://schemas.openxmlformats.org/officeDocument/2006/relationships/hyperlink" Id="rId76" Target="https://jjcurtin.github.io/study_match/notebooks\mak_fig_1-preview.html#cell-fig-combined" TargetMode="External" /><Relationship Type="http://schemas.openxmlformats.org/officeDocument/2006/relationships/hyperlink" Id="rId61"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9"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3" Target="https://jjcurtin.github.io/study_match/notebooks\mak_tables-preview.html#cell-tbl-smoking-chars" TargetMode="External" /><Relationship Type="http://schemas.openxmlformats.org/officeDocument/2006/relationships/hyperlink" Id="rId82"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5"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1/jama.2015.19284" TargetMode="External" /><Relationship Type="http://schemas.openxmlformats.org/officeDocument/2006/relationships/hyperlink" Id="rId242" Target="https://doi.org/10.1001/jama.2022.0395" TargetMode="External" /><Relationship Type="http://schemas.openxmlformats.org/officeDocument/2006/relationships/hyperlink" Id="rId187" Target="https://doi.org/10.1001/jamanetworkopen.2020.5852" TargetMode="External" /><Relationship Type="http://schemas.openxmlformats.org/officeDocument/2006/relationships/hyperlink" Id="rId185" Target="https://doi.org/10.1001/jamapsychiatry.2021.2500" TargetMode="External" /><Relationship Type="http://schemas.openxmlformats.org/officeDocument/2006/relationships/hyperlink" Id="rId112" Target="https://doi.org/10.1002/14651858.CD006103.pub7" TargetMode="External" /><Relationship Type="http://schemas.openxmlformats.org/officeDocument/2006/relationships/hyperlink" Id="rId114" Target="https://doi.org/10.1002/14651858.CD009329.pub2" TargetMode="External" /><Relationship Type="http://schemas.openxmlformats.org/officeDocument/2006/relationships/hyperlink" Id="rId211" Target="https://doi.org/10.1002/14651858.CD013308" TargetMode="External" /><Relationship Type="http://schemas.openxmlformats.org/officeDocument/2006/relationships/hyperlink" Id="rId203" Target="https://doi.org/10.1002/acp.1602" TargetMode="External" /><Relationship Type="http://schemas.openxmlformats.org/officeDocument/2006/relationships/hyperlink" Id="rId118" Target="https://doi.org/10.1002/cpt.1971" TargetMode="External" /><Relationship Type="http://schemas.openxmlformats.org/officeDocument/2006/relationships/hyperlink" Id="rId198" Target="https://doi.org/10.1007/978-1-4614-6849-3" TargetMode="External" /><Relationship Type="http://schemas.openxmlformats.org/officeDocument/2006/relationships/hyperlink" Id="rId169" Target="https://doi.org/10.1007/978-1-4614-7138-7" TargetMode="External" /><Relationship Type="http://schemas.openxmlformats.org/officeDocument/2006/relationships/hyperlink" Id="rId128" Target="https://doi.org/10.1007/978-3-319-72206-1" TargetMode="External" /><Relationship Type="http://schemas.openxmlformats.org/officeDocument/2006/relationships/hyperlink" Id="rId107" Target="https://doi.org/10.1007/s10488-016-0718-5" TargetMode="External" /><Relationship Type="http://schemas.openxmlformats.org/officeDocument/2006/relationships/hyperlink" Id="rId105" Target="https://doi.org/10.1007/s10488-020-01065-8" TargetMode="External" /><Relationship Type="http://schemas.openxmlformats.org/officeDocument/2006/relationships/hyperlink" Id="rId252" Target="https://doi.org/10.1007/s11031-005-7955-3" TargetMode="External" /><Relationship Type="http://schemas.openxmlformats.org/officeDocument/2006/relationships/hyperlink" Id="rId272" Target="https://doi.org/10.1007/s11121-009-0141-1" TargetMode="External" /><Relationship Type="http://schemas.openxmlformats.org/officeDocument/2006/relationships/hyperlink" Id="rId254" Target="https://doi.org/10.1016/0022-3999(94)00125-O" TargetMode="External" /><Relationship Type="http://schemas.openxmlformats.org/officeDocument/2006/relationships/hyperlink" Id="rId205" Target="https://doi.org/10.1016/S2213-2600(14)70294-2" TargetMode="External" /><Relationship Type="http://schemas.openxmlformats.org/officeDocument/2006/relationships/hyperlink" Id="rId138" Target="https://doi.org/10.1016/j.addbeh.2003.08.014" TargetMode="External" /><Relationship Type="http://schemas.openxmlformats.org/officeDocument/2006/relationships/hyperlink" Id="rId179" Target="https://doi.org/10.1016/j.addbeh.2015.07.019" TargetMode="External" /><Relationship Type="http://schemas.openxmlformats.org/officeDocument/2006/relationships/hyperlink" Id="rId136" Target="https://doi.org/10.1016/j.addbeh.2016.12.011" TargetMode="External" /><Relationship Type="http://schemas.openxmlformats.org/officeDocument/2006/relationships/hyperlink" Id="rId94" Target="https://doi.org/10.1016/j.addbeh.2017.11.039" TargetMode="External" /><Relationship Type="http://schemas.openxmlformats.org/officeDocument/2006/relationships/hyperlink" Id="rId103" Target="https://doi.org/10.1016/j.addicn.2023.100068" TargetMode="External" /><Relationship Type="http://schemas.openxmlformats.org/officeDocument/2006/relationships/hyperlink" Id="rId160" Target="https://doi.org/10.1016/j.amepre.2017.01.038" TargetMode="External" /><Relationship Type="http://schemas.openxmlformats.org/officeDocument/2006/relationships/hyperlink" Id="rId150" Target="https://doi.org/10.1016/j.biopsych.2020.02.015" TargetMode="External" /><Relationship Type="http://schemas.openxmlformats.org/officeDocument/2006/relationships/hyperlink" Id="rId140" Target="https://doi.org/10.1016/j.brat.2019.103506" TargetMode="External" /><Relationship Type="http://schemas.openxmlformats.org/officeDocument/2006/relationships/hyperlink" Id="rId240" Target="https://doi.org/10.1016/j.drugalcdep.2016.11.025" TargetMode="External" /><Relationship Type="http://schemas.openxmlformats.org/officeDocument/2006/relationships/hyperlink" Id="rId236" Target="https://doi.org/10.1016/j.drugalcdep.2016.11.027" TargetMode="External" /><Relationship Type="http://schemas.openxmlformats.org/officeDocument/2006/relationships/hyperlink" Id="rId234" Target="https://doi.org/10.1016/j.drugalcdep.2019.05.017" TargetMode="External" /><Relationship Type="http://schemas.openxmlformats.org/officeDocument/2006/relationships/hyperlink" Id="rId124" Target="https://doi.org/10.1016/j.jsat.2013.08.004" TargetMode="External" /><Relationship Type="http://schemas.openxmlformats.org/officeDocument/2006/relationships/hyperlink" Id="rId230" Target="https://doi.org/10.1016/j.jsat.2021.108710" TargetMode="External" /><Relationship Type="http://schemas.openxmlformats.org/officeDocument/2006/relationships/hyperlink" Id="rId90" Target="https://doi.org/10.1016/j.jval.2022.04.206" TargetMode="External" /><Relationship Type="http://schemas.openxmlformats.org/officeDocument/2006/relationships/hyperlink" Id="rId120" Target="https://doi.org/10.1016/j.neulet.2016.05.033" TargetMode="External" /><Relationship Type="http://schemas.openxmlformats.org/officeDocument/2006/relationships/hyperlink" Id="rId246" Target="https://doi.org/10.1016/j.pbb.2008.10.016" TargetMode="External" /><Relationship Type="http://schemas.openxmlformats.org/officeDocument/2006/relationships/hyperlink" Id="rId262" Target="https://doi.org/10.1017/jsc.2020.11" TargetMode="External" /><Relationship Type="http://schemas.openxmlformats.org/officeDocument/2006/relationships/hyperlink" Id="rId173" Target="https://doi.org/10.1023/A:1008987426876" TargetMode="External" /><Relationship Type="http://schemas.openxmlformats.org/officeDocument/2006/relationships/hyperlink" Id="rId267" Target="https://doi.org/10.1037/1040-3590.19.2.176" TargetMode="External" /><Relationship Type="http://schemas.openxmlformats.org/officeDocument/2006/relationships/hyperlink" Id="rId189" Target="https://doi.org/10.1037/a0028445" TargetMode="External" /><Relationship Type="http://schemas.openxmlformats.org/officeDocument/2006/relationships/hyperlink" Id="rId264" Target="https://doi.org/10.1037/adb0000666" TargetMode="External" /><Relationship Type="http://schemas.openxmlformats.org/officeDocument/2006/relationships/hyperlink" Id="rId256" Target="https://doi.org/10.1037/pas0000978" TargetMode="External" /><Relationship Type="http://schemas.openxmlformats.org/officeDocument/2006/relationships/hyperlink" Id="rId153" Target="https://doi.org/10.1037/pha0000141" TargetMode="External" /><Relationship Type="http://schemas.openxmlformats.org/officeDocument/2006/relationships/hyperlink" Id="rId155" Target="https://doi.org/10.1038/clpt.2014.124" TargetMode="External" /><Relationship Type="http://schemas.openxmlformats.org/officeDocument/2006/relationships/hyperlink" Id="rId193" Target="https://doi.org/10.1046/j.1525-1497.2001.016009606.x" TargetMode="External" /><Relationship Type="http://schemas.openxmlformats.org/officeDocument/2006/relationships/hyperlink" Id="rId96" Target="https://doi.org/10.1056/NEJMp1301935" TargetMode="External" /><Relationship Type="http://schemas.openxmlformats.org/officeDocument/2006/relationships/hyperlink" Id="rId171" Target="https://doi.org/10.1056/NEJMsa1211128" TargetMode="External" /><Relationship Type="http://schemas.openxmlformats.org/officeDocument/2006/relationships/hyperlink" Id="rId282" Target="https://doi.org/10.1080/00273171.2013.763012" TargetMode="External" /><Relationship Type="http://schemas.openxmlformats.org/officeDocument/2006/relationships/hyperlink" Id="rId157" Target="https://doi.org/10.1080/10826084.2019.1691593" TargetMode="External" /><Relationship Type="http://schemas.openxmlformats.org/officeDocument/2006/relationships/hyperlink" Id="rId175" Target="https://doi.org/10.1080/17460441.2018.1458090" TargetMode="External" /><Relationship Type="http://schemas.openxmlformats.org/officeDocument/2006/relationships/hyperlink" Id="rId207" Target="https://doi.org/10.1080/20008198.2020.1729633" TargetMode="External" /><Relationship Type="http://schemas.openxmlformats.org/officeDocument/2006/relationships/hyperlink" Id="rId280" Target="https://doi.org/10.1093/jpepsy/jst062" TargetMode="External" /><Relationship Type="http://schemas.openxmlformats.org/officeDocument/2006/relationships/hyperlink" Id="rId258" Target="https://doi.org/10.1093/ntr/ntq032" TargetMode="External" /><Relationship Type="http://schemas.openxmlformats.org/officeDocument/2006/relationships/hyperlink" Id="rId122" Target="https://doi.org/10.1093/ntr/ntv125" TargetMode="External" /><Relationship Type="http://schemas.openxmlformats.org/officeDocument/2006/relationships/hyperlink" Id="rId132" Target="https://doi.org/10.1093/ntr/nty259" TargetMode="External" /><Relationship Type="http://schemas.openxmlformats.org/officeDocument/2006/relationships/hyperlink" Id="rId216" Target="https://doi.org/10.1097/JTO.0b013e3181ec173d" TargetMode="External" /><Relationship Type="http://schemas.openxmlformats.org/officeDocument/2006/relationships/hyperlink" Id="rId238" Target="https://doi.org/10.1111/add.13162" TargetMode="External" /><Relationship Type="http://schemas.openxmlformats.org/officeDocument/2006/relationships/hyperlink" Id="rId191" Target="https://doi.org/10.1111/add.13818" TargetMode="External" /><Relationship Type="http://schemas.openxmlformats.org/officeDocument/2006/relationships/hyperlink" Id="rId232" Target="https://doi.org/10.1111/add.14023" TargetMode="External" /><Relationship Type="http://schemas.openxmlformats.org/officeDocument/2006/relationships/hyperlink" Id="rId248" Target="https://doi.org/10.1111/add.14450" TargetMode="External" /><Relationship Type="http://schemas.openxmlformats.org/officeDocument/2006/relationships/hyperlink" Id="rId270" Target="https://doi.org/10.1111/j.1360-0443.1993.tb02060.x" TargetMode="External" /><Relationship Type="http://schemas.openxmlformats.org/officeDocument/2006/relationships/hyperlink" Id="rId183" Target="https://doi.org/10.1111/j.1465-3362.2012.00465.x" TargetMode="External" /><Relationship Type="http://schemas.openxmlformats.org/officeDocument/2006/relationships/hyperlink" Id="rId177" Target="https://doi.org/10.1111/j.1475-6773.2011.01314.x" TargetMode="External" /><Relationship Type="http://schemas.openxmlformats.org/officeDocument/2006/relationships/hyperlink" Id="rId214" Target="https://doi.org/10.1139/gen-2020-0131" TargetMode="External" /><Relationship Type="http://schemas.openxmlformats.org/officeDocument/2006/relationships/hyperlink" Id="rId142" Target="https://doi.org/10.1146/annurev-clinpsy-032816-045037" TargetMode="External" /><Relationship Type="http://schemas.openxmlformats.org/officeDocument/2006/relationships/hyperlink" Id="rId244" Target="https://doi.org/10.1146/annurev-clinpsy-050212-185602" TargetMode="External" /><Relationship Type="http://schemas.openxmlformats.org/officeDocument/2006/relationships/hyperlink" Id="rId126" Target="https://doi.org/10.1146/annurev-clinpsy-050817-084746" TargetMode="External" /><Relationship Type="http://schemas.openxmlformats.org/officeDocument/2006/relationships/hyperlink" Id="rId98" Target="https://doi.org/10.1146/annurev-clinpsy-081219-090343" TargetMode="External" /><Relationship Type="http://schemas.openxmlformats.org/officeDocument/2006/relationships/hyperlink" Id="rId222" Target="https://doi.org/10.1146/annurev-publhealth-040617-014208" TargetMode="External" /><Relationship Type="http://schemas.openxmlformats.org/officeDocument/2006/relationships/hyperlink" Id="rId110" Target="https://doi.org/10.1146/annurev.clinpsy.3.022806.091455" TargetMode="External" /><Relationship Type="http://schemas.openxmlformats.org/officeDocument/2006/relationships/hyperlink" Id="rId250" Target="https://doi.org/10.1158/1940-6207.CAPR-19-0259" TargetMode="External" /><Relationship Type="http://schemas.openxmlformats.org/officeDocument/2006/relationships/hyperlink" Id="rId162" Target="https://doi.org/10.1176/appi.ajp.2014.14020138" TargetMode="External" /><Relationship Type="http://schemas.openxmlformats.org/officeDocument/2006/relationships/hyperlink" Id="rId92" Target="https://doi.org/10.1176/appi.books.9780890425596" TargetMode="External" /><Relationship Type="http://schemas.openxmlformats.org/officeDocument/2006/relationships/hyperlink" Id="rId274" Target="https://doi.org/10.1177/1745691618805436" TargetMode="External" /><Relationship Type="http://schemas.openxmlformats.org/officeDocument/2006/relationships/hyperlink" Id="rId195" Target="https://doi.org/10.1186/1758-2946-6-10" TargetMode="External" /><Relationship Type="http://schemas.openxmlformats.org/officeDocument/2006/relationships/hyperlink" Id="rId146" Target="https://doi.org/10.1186/s12889-023-15859-6" TargetMode="External" /><Relationship Type="http://schemas.openxmlformats.org/officeDocument/2006/relationships/hyperlink" Id="rId260" Target="https://doi.org/10.1192/bjp.167.1.99" TargetMode="External" /><Relationship Type="http://schemas.openxmlformats.org/officeDocument/2006/relationships/hyperlink" Id="rId134" Target="https://doi.org/10.1348/0144665031752934" TargetMode="External" /><Relationship Type="http://schemas.openxmlformats.org/officeDocument/2006/relationships/hyperlink" Id="rId164" Target="https://doi.org/10.1371/journal.pone.0286883" TargetMode="External" /><Relationship Type="http://schemas.openxmlformats.org/officeDocument/2006/relationships/hyperlink" Id="rId220" Target="https://doi.org/10.1371/journal.pone.0295970" TargetMode="External" /><Relationship Type="http://schemas.openxmlformats.org/officeDocument/2006/relationships/hyperlink" Id="rId181" Target="https://doi.org/10.15288/jsad.2020.81.426" TargetMode="External" /><Relationship Type="http://schemas.openxmlformats.org/officeDocument/2006/relationships/hyperlink" Id="rId167" Target="https://doi.org/10.15585/mmwr.mm6444a2" TargetMode="External" /><Relationship Type="http://schemas.openxmlformats.org/officeDocument/2006/relationships/hyperlink" Id="rId130" Target="https://doi.org/10.15585/mmwr.mm6946a4" TargetMode="External" /><Relationship Type="http://schemas.openxmlformats.org/officeDocument/2006/relationships/hyperlink" Id="rId116" Target="https://doi.org/10.21231/GNT1-HW21" TargetMode="External" /><Relationship Type="http://schemas.openxmlformats.org/officeDocument/2006/relationships/hyperlink" Id="rId209" Target="https://doi.org/10.2165/00023210-200418040-00005" TargetMode="External" /><Relationship Type="http://schemas.openxmlformats.org/officeDocument/2006/relationships/hyperlink" Id="rId276" Target="https://doi.org/10.2196/41833" TargetMode="External" /><Relationship Type="http://schemas.openxmlformats.org/officeDocument/2006/relationships/hyperlink" Id="rId218" Target="https://doi.org/10.2466/03.11.PMS.112.2.331-348" TargetMode="External" /><Relationship Type="http://schemas.openxmlformats.org/officeDocument/2006/relationships/hyperlink" Id="rId278" Target="https://doi.org/10.31234/osf.io/cgsf7" TargetMode="External" /><Relationship Type="http://schemas.openxmlformats.org/officeDocument/2006/relationships/hyperlink" Id="rId201" Target="https://doi.org/10.3390/ijerph18052584" TargetMode="External" /><Relationship Type="http://schemas.openxmlformats.org/officeDocument/2006/relationships/hyperlink" Id="rId148" Target="https://doi.org/10.3390/info14080426" TargetMode="External" /><Relationship Type="http://schemas.openxmlformats.org/officeDocument/2006/relationships/hyperlink" Id="rId227" Target="https://doi.org/10.7326/0003-4819-131-7-199910050-00002" TargetMode="External" /><Relationship Type="http://schemas.openxmlformats.org/officeDocument/2006/relationships/hyperlink" Id="rId144"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69" Target="https://jjcurtin.github.io/study_match/notebooks\eval_benefit_4wk-preview.html#cell-fig-clin-ben-wk4" TargetMode="External" /><Relationship Type="http://schemas.openxmlformats.org/officeDocument/2006/relationships/hyperlink" Id="rId76" Target="https://jjcurtin.github.io/study_match/notebooks\mak_fig_1-preview.html#cell-fig-combined" TargetMode="External" /><Relationship Type="http://schemas.openxmlformats.org/officeDocument/2006/relationships/hyperlink" Id="rId61"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9"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3" Target="https://jjcurtin.github.io/study_match/notebooks\mak_tables-preview.html#cell-tbl-smoking-chars" TargetMode="External" /><Relationship Type="http://schemas.openxmlformats.org/officeDocument/2006/relationships/hyperlink" Id="rId82"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5"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Kendra Wyant; Megan E Piper; Timothy Baker; John J. Curtin</dc:creator>
  <cp:keywords>Substance use disorders, Precision mental health, Cigarette smoking, Machine learning, Treatment selection</cp:keywords>
  <dcterms:created xsi:type="dcterms:W3CDTF">2025-01-16T16:25:53Z</dcterms:created>
  <dcterms:modified xsi:type="dcterms:W3CDTF">2025-01-16T16:25:53Z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treatment success for each participant on each of the three treatments to identify their model-predicted best treatment. Individuals who were matched to their model-predicted best treatment during the original trial were more likely to quit successfully at 4 weeks than individuals who were not (OR = 1.382, p = 0.014) but not at later timepoints.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