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67.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2024-06-04</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XX,</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5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4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tbl-featurespdf"/>
          <w:p>
            <w:pPr>
              <w:jc w:val="center"/>
            </w:pPr>
            <w:pPr>
              <w:jc w:val="start"/>
              <w:spacing w:before="200"/>
              <w:pStyle w:val="ImageCaption"/>
            </w:pPr>
            <w:r>
              <w:t xml:space="preserve">Table 1: Individual Differences</w:t>
            </w:r>
          </w:p>
          <w:tbl>
            <w:tblPr>
              <w:tblStyle w:val="Table"/>
              <w:tblW w:type="pct" w:w="4867"/>
              <w:tblLook w:firstRow="1" w:lastRow="0" w:firstColumn="0" w:lastColumn="0" w:noHBand="0" w:noVBand="0" w:val="0020"/>
              <w:jc w:val="start"/>
              <w:tblLayout w:type="fixed"/>
            </w:tblPr>
            <w:tblGrid>
              <w:gridCol w:w="2745"/>
              <w:gridCol w:w="1478"/>
              <w:gridCol w:w="2323"/>
              <w:gridCol w:w="1161"/>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center"/>
                    <w:jc w:val="center"/>
                  </w:pPr>
                  <w:r>
                    <w:t xml:space="preserve">#</w:t>
                  </w:r>
                  <w:r>
                    <w:t xml:space="preserve"> </w:t>
                  </w:r>
                  <w:r>
                    <w:t xml:space="preserve">Features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center"/>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Marital</w:t>
                  </w:r>
                  <w:r>
                    <w:t xml:space="preserve"> </w:t>
                  </w:r>
                  <w:r>
                    <w:t xml:space="preserve">Status</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Ordinal</w:t>
                  </w:r>
                </w:p>
              </w:tc>
              <w:tc>
                <w:tcPr/>
                <w:p>
                  <w:pPr>
                    <w:pStyle w:val="Compact"/>
                    <w:jc w:val="center"/>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bl>
          <w:bookmarkEnd w:id="31"/>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3" w:name="featurespdf2"/>
    <w:tbl>
      <w:tblPr>
        <w:tblStyle w:val="Table"/>
        <w:tblW w:type="pct" w:w="4909"/>
        <w:tblLook w:firstRow="1" w:lastRow="0" w:firstColumn="0" w:lastColumn="0" w:noHBand="0" w:noVBand="0" w:val="0020"/>
        <w:jc w:val="start"/>
        <w:tblLayout w:type="fixed"/>
      </w:tblPr>
      <w:tblGrid>
        <w:gridCol w:w="1007"/>
        <w:gridCol w:w="4896"/>
        <w:gridCol w:w="1080"/>
        <w:gridCol w:w="792"/>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Dichotomous</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Dichotomous</w:t>
            </w:r>
          </w:p>
        </w:tc>
        <w:tc>
          <w:tcPr/>
          <w:p>
            <w:pPr>
              <w:pStyle w:val="Compact"/>
              <w:jc w:val="center"/>
            </w:pPr>
            <w:r>
              <w:t xml:space="preserve">14</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Dichotomous,</w:t>
            </w:r>
            <w:r>
              <w:t xml:space="preserve"> </w:t>
            </w:r>
            <w:r>
              <w:t xml:space="preserve">Ordinal</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Ordinal</w:t>
            </w:r>
          </w:p>
        </w:tc>
        <w:tc>
          <w:tcPr/>
          <w:p>
            <w:pPr>
              <w:pStyle w:val="Compact"/>
              <w:jc w:val="center"/>
            </w:pPr>
            <w:r>
              <w:t xml:space="preserve">49</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Ordinal</w:t>
            </w:r>
          </w:p>
        </w:tc>
        <w:tc>
          <w:tcPr/>
          <w:p>
            <w:pPr>
              <w:pStyle w:val="Compact"/>
              <w:jc w:val="center"/>
            </w:pPr>
            <w:r>
              <w:t xml:space="preserve">45</w:t>
            </w:r>
          </w:p>
        </w:tc>
      </w:tr>
    </w:tbl>
    <w:bookmarkEnd w:id="33"/>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5" w:name="featurespdf3-1"/>
    <w:tbl>
      <w:tblPr>
        <w:tblStyle w:val="Table"/>
        <w:tblW w:type="pct" w:w="4872"/>
        <w:tblLook w:firstRow="1" w:lastRow="0" w:firstColumn="0" w:lastColumn="0" w:noHBand="0" w:noVBand="0" w:val="0020"/>
        <w:jc w:val="start"/>
        <w:tblLayout w:type="fixed"/>
      </w:tblPr>
      <w:tblGrid>
        <w:gridCol w:w="2741"/>
        <w:gridCol w:w="2132"/>
        <w:gridCol w:w="1726"/>
        <w:gridCol w:w="1116"/>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Ordinal</w:t>
            </w:r>
          </w:p>
        </w:tc>
        <w:tc>
          <w:tcPr/>
          <w:p>
            <w:pPr>
              <w:pStyle w:val="Compact"/>
              <w:jc w:val="center"/>
            </w:pPr>
            <w:r>
              <w:t xml:space="preserve">2</w:t>
            </w:r>
          </w:p>
        </w:tc>
      </w:tr>
    </w:tbl>
    <w:bookmarkEnd w:id="35"/>
    <w:bookmarkStart w:id="36" w:name="featurespdf3-2"/>
    <w:tbl>
      <w:tblPr>
        <w:tblStyle w:val="Table"/>
        <w:tblW w:type="pct" w:w="4886"/>
        <w:tblLook w:firstRow="1" w:lastRow="0" w:firstColumn="0" w:lastColumn="0" w:noHBand="0" w:noVBand="0" w:val="0020"/>
        <w:jc w:val="start"/>
        <w:tblLayout w:type="fixed"/>
      </w:tblPr>
      <w:tblGrid>
        <w:gridCol w:w="1800"/>
        <w:gridCol w:w="3690"/>
        <w:gridCol w:w="1260"/>
        <w:gridCol w:w="990"/>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Frequency of Drinking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Ordinal</w:t>
            </w:r>
          </w:p>
        </w:tc>
        <w:tc>
          <w:tcPr/>
          <w:p>
            <w:pPr>
              <w:pStyle w:val="Compact"/>
              <w:jc w:val="center"/>
            </w:pPr>
            <w:r>
              <w:t xml:space="preserve">16</w:t>
            </w:r>
          </w:p>
        </w:tc>
      </w:tr>
      <w:tr>
        <w:tc>
          <w:tcPr/>
          <w:p>
            <w:pPr>
              <w:pStyle w:val="Compact"/>
            </w:pPr>
          </w:p>
        </w:tc>
        <w:tc>
          <w:tcPr/>
          <w:p>
            <w:pPr>
              <w:pStyle w:val="Compact"/>
              <w:jc w:val="left"/>
            </w:pPr>
            <w:r>
              <w:t xml:space="preserve">Life Satisfaction</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Dichotomous</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Ordinal</w:t>
            </w:r>
          </w:p>
        </w:tc>
        <w:tc>
          <w:tcPr/>
          <w:p>
            <w:pPr>
              <w:pStyle w:val="Compact"/>
              <w:jc w:val="center"/>
            </w:pPr>
            <w:r>
              <w:t xml:space="preserve">8</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Ordinal</w:t>
            </w:r>
          </w:p>
        </w:tc>
        <w:tc>
          <w:tcPr/>
          <w:p>
            <w:pPr>
              <w:pStyle w:val="Compact"/>
              <w:jc w:val="center"/>
            </w:pPr>
            <w:r>
              <w:t xml:space="preserve">15</w:t>
            </w:r>
          </w:p>
        </w:tc>
      </w:tr>
      <w:tr>
        <w:tc>
          <w:tcPr/>
          <w:p>
            <w:pPr>
              <w:pStyle w:val="Compact"/>
            </w:pPr>
          </w:p>
        </w:tc>
        <w:tc>
          <w:tcPr/>
          <w:p>
            <w:pPr>
              <w:pStyle w:val="Compact"/>
              <w:jc w:val="left"/>
            </w:pPr>
            <w:r>
              <w:t xml:space="preserve">Anxiety Severity Index-3</w:t>
            </w:r>
            <w:r>
              <w:t xml:space="preserve"> </w:t>
            </w:r>
            <w:r>
              <w:t xml:space="preserve">(S. Taylor et al. 2007)</w:t>
            </w:r>
          </w:p>
        </w:tc>
        <w:tc>
          <w:tcPr/>
          <w:p>
            <w:pPr>
              <w:pStyle w:val="Compact"/>
              <w:jc w:val="left"/>
            </w:pPr>
            <w:r>
              <w:t xml:space="preserve">Ordinal</w:t>
            </w:r>
          </w:p>
        </w:tc>
        <w:tc>
          <w:tcPr/>
          <w:p>
            <w:pPr>
              <w:pStyle w:val="Compact"/>
              <w:jc w:val="center"/>
            </w:pPr>
            <w:r>
              <w:t xml:space="preserve">22</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Ordinal</w:t>
            </w:r>
          </w:p>
        </w:tc>
        <w:tc>
          <w:tcPr/>
          <w:p>
            <w:pPr>
              <w:pStyle w:val="Compact"/>
              <w:jc w:val="center"/>
            </w:pPr>
            <w:r>
              <w:t xml:space="preserve">20</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Ordinal</w:t>
            </w:r>
          </w:p>
        </w:tc>
        <w:tc>
          <w:tcPr/>
          <w:p>
            <w:pPr>
              <w:pStyle w:val="Compact"/>
              <w:jc w:val="center"/>
            </w:pPr>
            <w:r>
              <w:t xml:space="preserve">11</w:t>
            </w:r>
          </w:p>
        </w:tc>
      </w:tr>
    </w:tbl>
    <w:bookmarkEnd w:id="36"/>
    <w:p>
      <w:pPr>
        <w:pStyle w:val="BodyText"/>
      </w:pPr>
      <w:r>
        <w:rPr>
          <w:vertAlign w:val="subscript"/>
        </w:rPr>
        <w:t xml:space="preserve">Source:</w:t>
      </w:r>
      <w:r>
        <w:rPr>
          <w:vertAlign w:val="subscript"/>
        </w:rPr>
        <w:t xml:space="preserve"> </w:t>
      </w:r>
      <w:hyperlink r:id="rId37">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8" w:name="featurespdf4-1"/>
    <w:tbl>
      <w:tblPr>
        <w:tblStyle w:val="Table"/>
        <w:tblW w:type="pct" w:w="4886"/>
        <w:tblLook w:firstRow="1" w:lastRow="0" w:firstColumn="0" w:lastColumn="0" w:noHBand="0" w:noVBand="0" w:val="0020"/>
        <w:jc w:val="start"/>
        <w:tblLayout w:type="fixed"/>
      </w:tblPr>
      <w:tblGrid>
        <w:gridCol w:w="1260"/>
        <w:gridCol w:w="4230"/>
        <w:gridCol w:w="1260"/>
        <w:gridCol w:w="990"/>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Diabetes Diagnosis</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Ordinal</w:t>
            </w:r>
          </w:p>
        </w:tc>
        <w:tc>
          <w:tcPr/>
          <w:p>
            <w:pPr>
              <w:pStyle w:val="Compact"/>
              <w:jc w:val="center"/>
            </w:pPr>
            <w:r>
              <w:t xml:space="preserve">26</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Ordinal,</w:t>
            </w:r>
            <w:r>
              <w:t xml:space="preserve"> </w:t>
            </w:r>
            <w:r>
              <w:t xml:space="preserve">Dichotomous</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Ordinal,</w:t>
            </w:r>
            <w:r>
              <w:t xml:space="preserve"> </w:t>
            </w:r>
            <w:r>
              <w:t xml:space="preserve">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8"/>
    <w:bookmarkStart w:id="39" w:name="featurespdf4-2"/>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 Features</w:t>
            </w:r>
          </w:p>
        </w:tc>
      </w:tr>
      <w:tr>
        <w:tc>
          <w:tcPr/>
          <w:p>
            <w:pPr>
              <w:pStyle w:val="Compact"/>
            </w:pPr>
          </w:p>
        </w:tc>
        <w:tc>
          <w:tcPr/>
          <w:p>
            <w:pPr>
              <w:pStyle w:val="Compact"/>
              <w:jc w:val="left"/>
            </w:pPr>
            <w:r>
              <w:t xml:space="preserve">Treatment</w:t>
            </w:r>
          </w:p>
        </w:tc>
        <w:tc>
          <w:tcPr/>
          <w:p>
            <w:pPr>
              <w:pStyle w:val="Compact"/>
              <w:jc w:val="left"/>
            </w:pPr>
            <w:r>
              <w:t xml:space="preserve">Categorical</w:t>
            </w:r>
          </w:p>
        </w:tc>
        <w:tc>
          <w:tcPr/>
          <w:p>
            <w:pPr>
              <w:pStyle w:val="Compact"/>
              <w:jc w:val="center"/>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Dichotomous</w:t>
            </w:r>
          </w:p>
        </w:tc>
        <w:tc>
          <w:tcPr/>
          <w:p>
            <w:pPr>
              <w:pStyle w:val="Compact"/>
              <w:jc w:val="center"/>
            </w:pPr>
            <w:r>
              <w:t xml:space="preserve">1</w:t>
            </w:r>
          </w:p>
        </w:tc>
      </w:tr>
    </w:tbl>
    <w:bookmarkEnd w:id="39"/>
    <w:p>
      <w:pPr>
        <w:pStyle w:val="BodyText"/>
      </w:pPr>
      <w:r>
        <w:rPr>
          <w:vertAlign w:val="subscript"/>
        </w:rPr>
        <w:t xml:space="preserve">Source:</w:t>
      </w:r>
      <w:r>
        <w:rPr>
          <w:vertAlign w:val="subscript"/>
        </w:rPr>
        <w:t xml:space="preserve"> </w:t>
      </w:r>
      <w:hyperlink r:id="rId40">
        <w:r>
          <w:rPr>
            <w:rStyle w:val="Hyperlink"/>
            <w:vertAlign w:val="subscript"/>
          </w:rPr>
          <w:t xml:space="preserve">Make All Tables for Main Manuscript</w:t>
        </w:r>
      </w:hyperlink>
    </w:p>
    <w:bookmarkEnd w:id="41"/>
    <w:bookmarkStart w:id="4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42"/>
    <w:bookmarkEnd w:id="43"/>
    <w:bookmarkStart w:id="5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4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considering many interactions that each account for a small portion of variance, which may be necessary to capture the complexity of clinical phenomena.</w:t>
      </w:r>
    </w:p>
    <w:p>
      <w:pPr>
        <w:pStyle w:val="BodyText"/>
      </w:pPr>
      <w:r>
        <w:t xml:space="preserve">Second, GLMNet performs a degree of dimensionality reduction. It penalizes model complexity via two hyperparameters (alpha and lambda) such that features are only retained in the model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44"/>
    <w:bookmarkStart w:id="4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45"/>
    <w:bookmarkStart w:id="4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6"/>
    <w:bookmarkEnd w:id="47"/>
    <w:bookmarkStart w:id="51" w:name="model-fitting-selection-evaluation"/>
    <w:p>
      <w:pPr>
        <w:pStyle w:val="Heading4"/>
      </w:pPr>
      <w:r>
        <w:t xml:space="preserve">Model fitting, selection, &amp; evaluation</w:t>
      </w:r>
    </w:p>
    <w:bookmarkStart w:id="4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8"/>
    <w:bookmarkStart w:id="4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49"/>
    <w:bookmarkStart w:id="5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0"/>
    <w:bookmarkEnd w:id="51"/>
    <w:bookmarkStart w:id="5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52"/>
    <w:bookmarkEnd w:id="53"/>
    <w:bookmarkStart w:id="5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5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4"/>
    <w:bookmarkStart w:id="5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5"/>
    <w:bookmarkStart w:id="5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6"/>
    <w:bookmarkStart w:id="5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7"/>
    <w:bookmarkEnd w:id="58"/>
    <w:bookmarkEnd w:id="59"/>
    <w:bookmarkStart w:id="93" w:name="results"/>
    <w:p>
      <w:pPr>
        <w:pStyle w:val="Heading2"/>
      </w:pPr>
      <w:r>
        <w:t xml:space="preserve">Results</w:t>
      </w:r>
    </w:p>
    <w:bookmarkStart w:id="66"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0"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2"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2"/>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4" w:name="tbl-smoking-chars"/>
          <w:p>
            <w:pPr>
              <w:jc w:val="center"/>
            </w:pPr>
            <w:pPr>
              <w:jc w:val="start"/>
              <w:spacing w:before="200"/>
              <w:pStyle w:val="ImageCaption"/>
            </w:pPr>
            <w:r>
              <w:t xml:space="preserve">Table 3: Smoking-related ID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84" w:name="aim-1-results-prediction-models"/>
    <w:p>
      <w:pPr>
        <w:pStyle w:val="Heading3"/>
      </w:pPr>
      <w:r>
        <w:t xml:space="preserve">AIM 1 results: Prediction models</w:t>
      </w:r>
    </w:p>
    <w:bookmarkStart w:id="72"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across inner folds).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r>
        <w:t xml:space="preserve"> </w:t>
      </w:r>
      <w:r>
        <w:t xml:space="preserve">(Krstajic et al. 2014)</w:t>
      </w:r>
      <w:r>
        <w:t xml:space="preserve">. The median auROC across the 30 test sets for the 4-week model was 0.695 (IQR = 0.667 - 0.718, range = 0.592 - 0.788). This value is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70" w:name="fig-combined"/>
          <w:p>
            <w:pPr>
              <w:pStyle w:val="Compact"/>
              <w:jc w:val="center"/>
            </w:pPr>
            <w:r>
              <w:drawing>
                <wp:inline>
                  <wp:extent cx="5334000" cy="7620000"/>
                  <wp:effectExtent b="0" l="0" r="0" t="0"/>
                  <wp:docPr descr="" title="" id="68" name="Picture"/>
                  <a:graphic>
                    <a:graphicData uri="http://schemas.openxmlformats.org/drawingml/2006/picture">
                      <pic:pic>
                        <pic:nvPicPr>
                          <pic:cNvPr descr="index_files/figure-docx/notebooks-mak_fig_1-fig-combined-output-1.png" id="69" name="Picture"/>
                          <pic:cNvPicPr>
                            <a:picLocks noChangeArrowheads="1" noChangeAspect="1"/>
                          </pic:cNvPicPr>
                        </pic:nvPicPr>
                        <pic:blipFill>
                          <a:blip r:embed="rId6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auROC.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RCT-assigned treatment. Dotted line indicates perfect calibration.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2"/>
    <w:bookmarkStart w:id="73"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3"/>
    <w:bookmarkStart w:id="83" w:name="model-interpretation-1"/>
    <w:p>
      <w:pPr>
        <w:pStyle w:val="Heading4"/>
      </w:pPr>
      <w:r>
        <w:t xml:space="preserve">Model interpretation</w:t>
      </w:r>
    </w:p>
    <w:bookmarkStart w:id="76" w:name="retained-features"/>
    <w:p>
      <w:pPr>
        <w:pStyle w:val="Heading5"/>
      </w:pPr>
      <w:r>
        <w:t xml:space="preserve">Retained features</w:t>
      </w:r>
    </w:p>
    <w:p>
      <w:pPr>
        <w:pStyle w:val="FirstParagraph"/>
      </w:pPr>
      <w:r>
        <w:t xml:space="preserve">Our final model fit with the full dataset retained retained 155 features. Tables with all retained features as well as their precise parameter estimates appear in the Supplement.</w:t>
      </w:r>
    </w:p>
    <w:p>
      <w:pPr>
        <w:pStyle w:val="BodyText"/>
      </w:pPr>
      <w:r>
        <w:t xml:space="preserve">Of the retained features, 74 were treatment interaction features. Retained treatment interaction features appear in</w:t>
      </w:r>
      <w:r>
        <w:t xml:space="preserve"> </w:t>
      </w:r>
      <w:hyperlink w:anchor="tbl-int-features">
        <w:r>
          <w:rPr>
            <w:rStyle w:val="Hyperlink"/>
          </w:rPr>
          <w:t xml:space="preserve">Table 4</w:t>
        </w:r>
      </w:hyperlink>
      <w:r>
        <w:t xml:space="preserve">, grouped by feature category from</w:t>
      </w:r>
      <w:r>
        <w:t xml:space="preserve"> </w:t>
      </w:r>
      <w:hyperlink w:anchor="tbl-featurespdf">
        <w:r>
          <w:rPr>
            <w:rStyle w:val="Hyperlink"/>
          </w:rPr>
          <w:t xml:space="preserve">Table 1</w:t>
        </w:r>
      </w:hyperlink>
      <w:r>
        <w:t xml:space="preserve">. The effect direction indicates whether increasing values of that feature (or coded positive for that level for one-hot-coded categorical features) increased or decreased abstinence when using that specific treatment (vs. the other two treatments).</w:t>
      </w:r>
    </w:p>
    <w:tbl>
      <w:tblPr>
        <w:tblStyle w:val="Table"/>
        <w:tblW w:type="pct" w:w="5000"/>
        <w:tblLook w:firstRow="0" w:lastRow="0" w:firstColumn="0" w:lastColumn="0" w:noHBand="0" w:noVBand="0" w:val="0000"/>
        <w:jc w:val="start"/>
        <w:tblLayout w:type="fixed"/>
      </w:tblPr>
      <w:tblGrid>
        <w:gridCol w:w="7920"/>
      </w:tblGrid>
      <w:tr>
        <w:tc>
          <w:tcPr/>
          <w:bookmarkStart w:id="74" w:name="tbl-int-features"/>
          <w:p>
            <w:pPr>
              <w:jc w:val="center"/>
            </w:pPr>
            <w:pPr>
              <w:jc w:val="start"/>
              <w:spacing w:before="200"/>
              <w:pStyle w:val="ImageCaption"/>
            </w:pPr>
            <w:r>
              <w:t xml:space="preserve">Table 4: Retained Interaction Features</w:t>
            </w:r>
          </w:p>
          <w:tbl>
            <w:tblPr>
              <w:tblStyle w:val="Table"/>
              <w:tblW w:type="pct" w:w="4898"/>
              <w:tblLook w:firstRow="1" w:lastRow="0" w:firstColumn="0" w:lastColumn="0" w:noHBand="0" w:noVBand="0" w:val="0020"/>
              <w:jc w:val="start"/>
              <w:tblLayout w:type="fixed"/>
            </w:tblPr>
            <w:tblGrid>
              <w:gridCol w:w="1858"/>
              <w:gridCol w:w="2666"/>
              <w:gridCol w:w="1293"/>
              <w:gridCol w:w="969"/>
              <w:gridCol w:w="969"/>
            </w:tblGrid>
            <w:tr>
              <w:trPr>
                <w:tblHeader w:val="true"/>
              </w:trPr>
              <w:tc>
                <w:tcPr/>
                <w:p>
                  <w:pPr>
                    <w:pStyle w:val="Compact"/>
                    <w:jc w:val="left"/>
                    <w:jc w:val="center"/>
                  </w:pPr>
                  <w:r>
                    <w:t xml:space="preserve">Category</w:t>
                  </w:r>
                </w:p>
              </w:tc>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r>
                    <w:t xml:space="preserve"> </w:t>
                  </w:r>
                  <w:r>
                    <w:t xml:space="preserve">(Varenicline)</w:t>
                  </w:r>
                </w:p>
              </w:tc>
              <w:tc>
                <w:tcPr/>
                <w:p>
                  <w:pPr>
                    <w:pStyle w:val="Compact"/>
                    <w:jc w:val="center"/>
                    <w:jc w:val="center"/>
                  </w:pPr>
                  <w:r>
                    <w:t xml:space="preserve">Effect</w:t>
                  </w:r>
                  <w:r>
                    <w:t xml:space="preserve"> </w:t>
                  </w:r>
                  <w:r>
                    <w:t xml:space="preserve">Direction</w:t>
                  </w:r>
                  <w:r>
                    <w:t xml:space="preserve"> </w:t>
                  </w:r>
                  <w:r>
                    <w:t xml:space="preserve">(C-NRT)</w:t>
                  </w:r>
                </w:p>
              </w:tc>
              <w:tc>
                <w:tcPr/>
                <w:p>
                  <w:pPr>
                    <w:pStyle w:val="Compact"/>
                    <w:jc w:val="center"/>
                    <w:jc w:val="center"/>
                  </w:pPr>
                  <w:r>
                    <w:t xml:space="preserve">Effect</w:t>
                  </w:r>
                  <w:r>
                    <w:t xml:space="preserve"> </w:t>
                  </w:r>
                  <w:r>
                    <w:t xml:space="preserve">Direction</w:t>
                  </w:r>
                  <w:r>
                    <w:t xml:space="preserve"> </w:t>
                  </w:r>
                  <w:r>
                    <w:t xml:space="preserve">(Patch)</w:t>
                  </w:r>
                </w:p>
              </w:tc>
            </w:tr>
            <w:tr>
              <w:tc>
                <w:tcPr/>
                <w:p>
                  <w:pPr>
                    <w:pStyle w:val="Compact"/>
                    <w:jc w:val="left"/>
                    <w:jc w:val="center"/>
                  </w:pPr>
                  <w:r>
                    <w:t xml:space="preserve">Demographic</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Divorced</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income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never been married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Black or African</w:t>
                  </w:r>
                  <w:r>
                    <w:t xml:space="preserve"> </w:t>
                  </w:r>
                  <w:r>
                    <w:t xml:space="preserve">American</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Identifies as White</w:t>
                  </w:r>
                </w:p>
              </w:tc>
              <w:tc>
                <w:tcPr/>
                <w:p>
                  <w:pPr>
                    <w:pStyle w:val="Compact"/>
                  </w:pPr>
                </w:p>
              </w:tc>
              <w:tc>
                <w:tcPr/>
                <w:p>
                  <w:pPr>
                    <w:pStyle w:val="Compact"/>
                    <w:jc w:val="center"/>
                    <w:jc w:val="center"/>
                  </w:pPr>
                  <w:r>
                    <w:t xml:space="preserve">+</w:t>
                  </w: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female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Married</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Medical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feel it takes a lot of</w:t>
                  </w:r>
                  <w:r>
                    <w:t xml:space="preserve"> </w:t>
                  </w:r>
                  <w:r>
                    <w:t xml:space="preserve">effort to concentrate (MFI Item</w:t>
                  </w:r>
                  <w:r>
                    <w:t xml:space="preserve"> </w:t>
                  </w:r>
                  <w:r>
                    <w:t xml:space="preserve">13)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have a lot of plans</w:t>
                  </w:r>
                  <w:r>
                    <w:t xml:space="preserve"> </w:t>
                  </w:r>
                  <w:r>
                    <w:t xml:space="preserve">(MFI Item 15)</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Does not think they do a lot in</w:t>
                  </w:r>
                  <w:r>
                    <w:t xml:space="preserve"> </w:t>
                  </w:r>
                  <w:r>
                    <w:t xml:space="preserve">a day (MFI Item 6)</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Feels tired, fatigued, or not up</w:t>
                  </w:r>
                  <w:r>
                    <w:t xml:space="preserve"> </w:t>
                  </w:r>
                  <w:r>
                    <w:t xml:space="preserve">to par (Berlin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days in past month feeling</w:t>
                  </w:r>
                  <w:r>
                    <w:t xml:space="preserve"> </w:t>
                  </w:r>
                  <w:r>
                    <w:t xml:space="preserve">worried, tense, or anxious (HDSM</w:t>
                  </w:r>
                  <w:r>
                    <w:t xml:space="preserve"> </w:t>
                  </w:r>
                  <w:r>
                    <w:t xml:space="preserve">Item</w:t>
                  </w:r>
                  <w:r>
                    <w:t xml:space="preserve"> </w:t>
                  </w:r>
                  <w:r>
                    <w:t xml:space="preserve">‘</w:t>
                  </w:r>
                  <w:r>
                    <w:t xml:space="preserve">Tense</w:t>
                  </w:r>
                  <w:r>
                    <w:t xml:space="preserv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sleep apnea diagnosis (Berlin</w:t>
                  </w:r>
                  <w:r>
                    <w:t xml:space="preserve"> </w:t>
                  </w:r>
                  <w:r>
                    <w:t xml:space="preserve">Item 9)</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Psychological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Can handle feeling distressed or</w:t>
                  </w:r>
                  <w:r>
                    <w:t xml:space="preserve"> </w:t>
                  </w:r>
                  <w:r>
                    <w:t xml:space="preserve">upset (DTS Item 3)</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Disagrees that there is nothing</w:t>
                  </w:r>
                  <w:r>
                    <w:t xml:space="preserve"> </w:t>
                  </w:r>
                  <w:r>
                    <w:t xml:space="preserve">worse than feeling distressed or</w:t>
                  </w:r>
                  <w:r>
                    <w:t xml:space="preserve"> </w:t>
                  </w:r>
                  <w:r>
                    <w:t xml:space="preserve">upset (DTS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find feeling distressed</w:t>
                  </w:r>
                  <w:r>
                    <w:t xml:space="preserve"> </w:t>
                  </w:r>
                  <w:r>
                    <w:t xml:space="preserve">or upset to be unbearable (DTS</w:t>
                  </w:r>
                  <w:r>
                    <w:t xml:space="preserve"> </w:t>
                  </w:r>
                  <w:r>
                    <w:t xml:space="preserve">Item 1)</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a depression diagnosis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satisfied with their life</w:t>
                  </w:r>
                  <w:r>
                    <w:t xml:space="preserve"> </w:t>
                  </w:r>
                  <w:r>
                    <w:t xml:space="preserve">as a whole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are going crazy</w:t>
                  </w:r>
                  <w:r>
                    <w:t xml:space="preserve"> </w:t>
                  </w:r>
                  <w:r>
                    <w:t xml:space="preserve">when they cannot keep their mind</w:t>
                  </w:r>
                  <w:r>
                    <w:t xml:space="preserve"> </w:t>
                  </w:r>
                  <w:r>
                    <w:t xml:space="preserve">on a task (ASI-3 Item 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Worries they will choke to death</w:t>
                  </w:r>
                  <w:r>
                    <w:t xml:space="preserve"> </w:t>
                  </w:r>
                  <w:r>
                    <w:t xml:space="preserve">when their throat feels tight</w:t>
                  </w:r>
                  <w:r>
                    <w:t xml:space="preserve"> </w:t>
                  </w:r>
                  <w:r>
                    <w:t xml:space="preserve">(ASI-3 Item 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Smoking Use/History</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Bothered by constipation (WSWS-2</w:t>
                  </w:r>
                  <w:r>
                    <w:t xml:space="preserve"> </w:t>
                  </w:r>
                  <w:r>
                    <w:t xml:space="preserve">Item</w:t>
                  </w:r>
                  <w:r>
                    <w:t xml:space="preserve"> </w:t>
                  </w:r>
                  <w:r>
                    <w:t xml:space="preserve">‘</w:t>
                  </w:r>
                  <w:r>
                    <w:t xml:space="preserve">Constipation</w:t>
                  </w:r>
                  <w:r>
                    <w:t xml:space="preserve">’</w:t>
                  </w: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coughing (WSWS-2</w:t>
                  </w:r>
                  <w:r>
                    <w:t xml:space="preserve"> </w:t>
                  </w:r>
                  <w:r>
                    <w:t xml:space="preserve">Item</w:t>
                  </w:r>
                  <w:r>
                    <w:t xml:space="preserve"> </w:t>
                  </w:r>
                  <w:r>
                    <w:t xml:space="preserve">‘</w:t>
                  </w:r>
                  <w:r>
                    <w:t xml:space="preserve">Coughing</w:t>
                  </w:r>
                  <w:r>
                    <w:t xml:space="preser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craving a cigarette</w:t>
                  </w:r>
                  <w:r>
                    <w:t xml:space="preserve"> </w:t>
                  </w:r>
                  <w:r>
                    <w:t xml:space="preserve">(WSWS-2 Item</w:t>
                  </w:r>
                  <w:r>
                    <w:t xml:space="preserve"> </w:t>
                  </w:r>
                  <w:r>
                    <w:t xml:space="preserve">‘</w:t>
                  </w:r>
                  <w:r>
                    <w:t xml:space="preserve">Crave</w:t>
                  </w:r>
                  <w:r>
                    <w:t xml:space="preserve">’</w:t>
                  </w:r>
                  <w:r>
                    <w:t xml:space="preserv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feeling hopeless or</w:t>
                  </w:r>
                  <w:r>
                    <w:t xml:space="preserve"> </w:t>
                  </w:r>
                  <w:r>
                    <w:t xml:space="preserve">discouraged (WSWS-2 Item 19)</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Bothered by having trouble</w:t>
                  </w:r>
                  <w:r>
                    <w:t xml:space="preserve"> </w:t>
                  </w:r>
                  <w:r>
                    <w:t xml:space="preserve">getting cigarettes of their mind</w:t>
                  </w:r>
                  <w:r>
                    <w:t xml:space="preserve"> </w:t>
                  </w:r>
                  <w:r>
                    <w:t xml:space="preserve">(WSWS-2 Item 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Bothered by having urges to</w:t>
                  </w:r>
                  <w:r>
                    <w:t xml:space="preserve"> </w:t>
                  </w:r>
                  <w:r>
                    <w:t xml:space="preserve">smoke (WSWS-2 Item 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waking frequently</w:t>
                  </w:r>
                  <w:r>
                    <w:t xml:space="preserve"> </w:t>
                  </w:r>
                  <w:r>
                    <w:t xml:space="preserve">during the night (WSWS-2 Item 5)</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Bothered by wanting to smoke</w:t>
                  </w:r>
                  <w:r>
                    <w:t xml:space="preserve"> </w:t>
                  </w:r>
                  <w:r>
                    <w:t xml:space="preserve">(WSWS-2 Item</w:t>
                  </w:r>
                  <w:r>
                    <w:t xml:space="preserve"> </w:t>
                  </w:r>
                  <w:r>
                    <w:t xml:space="preserve">‘</w:t>
                  </w:r>
                  <w:r>
                    <w:t xml:space="preserve">Want Cigarette</w:t>
                  </w:r>
                  <w:r>
                    <w:t xml:space="preserve">’</w:t>
                  </w:r>
                  <w:r>
                    <w:t xml:space="preserv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Currently smokes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endorse withdrawal</w:t>
                  </w:r>
                  <w:r>
                    <w:t xml:space="preserve"> </w:t>
                  </w:r>
                  <w:r>
                    <w:t xml:space="preserve">symptoms (DSM-5 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Does not smoke when so ill they</w:t>
                  </w:r>
                  <w:r>
                    <w:t xml:space="preserve"> </w:t>
                  </w:r>
                  <w:r>
                    <w:t xml:space="preserve">are in bed most of the day (FTND</w:t>
                  </w:r>
                  <w:r>
                    <w:t xml:space="preserve"> </w:t>
                  </w:r>
                  <w:r>
                    <w:t xml:space="preserve">Item 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alone without</w:t>
                  </w:r>
                  <w:r>
                    <w:t xml:space="preserve"> </w:t>
                  </w:r>
                  <w:r>
                    <w:t xml:space="preserve">their cigarettes (WISDM-37 Item</w:t>
                  </w:r>
                  <w:r>
                    <w:t xml:space="preserve"> </w:t>
                  </w:r>
                  <w:r>
                    <w:t xml:space="preserve">26)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feeling like cigarattes</w:t>
                  </w:r>
                  <w:r>
                    <w:t xml:space="preserve"> </w:t>
                  </w:r>
                  <w:r>
                    <w:t xml:space="preserve">are their best friends (WISDM-37</w:t>
                  </w:r>
                  <w:r>
                    <w:t xml:space="preserve"> </w:t>
                  </w:r>
                  <w:r>
                    <w:t xml:space="preserve">Item 22)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feeling that cigarettes</w:t>
                  </w:r>
                  <w:r>
                    <w:t xml:space="preserve"> </w:t>
                  </w:r>
                  <w:r>
                    <w:t xml:space="preserve">rule their life (WISDM-37 Item</w:t>
                  </w:r>
                  <w:r>
                    <w:t xml:space="preserve"> </w:t>
                  </w:r>
                  <w:r>
                    <w:t xml:space="preserve">16)</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Endorses having a lot of friends</w:t>
                  </w:r>
                  <w:r>
                    <w:t xml:space="preserve"> </w:t>
                  </w:r>
                  <w:r>
                    <w:t xml:space="preserve">or family members smoke</w:t>
                  </w:r>
                  <w:r>
                    <w:t xml:space="preserve"> </w:t>
                  </w:r>
                  <w:r>
                    <w:t xml:space="preserve">(WISDM-37 Item 27)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most of the people they</w:t>
                  </w:r>
                  <w:r>
                    <w:t xml:space="preserve"> </w:t>
                  </w:r>
                  <w:r>
                    <w:t xml:space="preserve">spend time with are smokers</w:t>
                  </w:r>
                  <w:r>
                    <w:t xml:space="preserve"> </w:t>
                  </w:r>
                  <w:r>
                    <w:t xml:space="preserve">(WISDM-37 Item 18)</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smoking helps them</w:t>
                  </w:r>
                  <w:r>
                    <w:t xml:space="preserve"> </w:t>
                  </w:r>
                  <w:r>
                    <w:t xml:space="preserve">think better (WISDM-37 Item 32)</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Endorses that most of their</w:t>
                  </w:r>
                  <w:r>
                    <w:t xml:space="preserve"> </w:t>
                  </w:r>
                  <w:r>
                    <w:t xml:space="preserve">friends and acquaintances smoke</w:t>
                  </w:r>
                  <w:r>
                    <w:t xml:space="preserve"> </w:t>
                  </w:r>
                  <w:r>
                    <w:t xml:space="preserve">(WISDM-37 Item 30)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Endorses weight control as a</w:t>
                  </w:r>
                  <w:r>
                    <w:t xml:space="preserve"> </w:t>
                  </w:r>
                  <w:r>
                    <w:t xml:space="preserve">major reason they smoke</w:t>
                  </w:r>
                  <w:r>
                    <w:t xml:space="preserve"> </w:t>
                  </w:r>
                  <w:r>
                    <w:t xml:space="preserve">(WISDM-37 Item 19)</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Finds it difficult to refrain</w:t>
                  </w:r>
                  <w:r>
                    <w:t xml:space="preserve"> </w:t>
                  </w:r>
                  <w:r>
                    <w:t xml:space="preserve">from smoking where it is</w:t>
                  </w:r>
                  <w:r>
                    <w:t xml:space="preserve"> </w:t>
                  </w:r>
                  <w:r>
                    <w:t xml:space="preserve">forbidden (FTND Item 2)</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Greater duration of time since</w:t>
                  </w:r>
                  <w:r>
                    <w:t xml:space="preserve"> </w:t>
                  </w:r>
                  <w:r>
                    <w:t xml:space="preserve">most recent quit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total number of previous</w:t>
                  </w:r>
                  <w:r>
                    <w:t xml:space="preserve"> </w:t>
                  </w:r>
                  <w:r>
                    <w:t xml:space="preserve">quit attempts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never smoked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never tried cigars</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not tried nicotine gum</w:t>
                  </w:r>
                  <w:r>
                    <w:t xml:space="preserve"> </w:t>
                  </w:r>
                  <w:r>
                    <w:t xml:space="preserve">during a 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spent a lot of time</w:t>
                  </w:r>
                  <w:r>
                    <w:t xml:space="preserve"> </w:t>
                  </w:r>
                  <w:r>
                    <w:t xml:space="preserve">obtaining, smoking, or</w:t>
                  </w:r>
                  <w:r>
                    <w:t xml:space="preserve"> </w:t>
                  </w:r>
                  <w:r>
                    <w:t xml:space="preserve">recovering from cigarettes</w:t>
                  </w:r>
                  <w:r>
                    <w:t xml:space="preserve"> </w:t>
                  </w:r>
                  <w:r>
                    <w:t xml:space="preserve">(DSM-5 Item 10)</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a pipe but has never</w:t>
                  </w:r>
                  <w:r>
                    <w:t xml:space="preserve"> </w:t>
                  </w:r>
                  <w:r>
                    <w:t xml:space="preserve">used regularly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cigars but has never</w:t>
                  </w:r>
                  <w:r>
                    <w:t xml:space="preserve"> </w:t>
                  </w:r>
                  <w:r>
                    <w:t xml:space="preserve">used regularly</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Smoked despite relationship</w:t>
                  </w:r>
                  <w:r>
                    <w:t xml:space="preserve"> </w:t>
                  </w:r>
                  <w:r>
                    <w:t xml:space="preserve">problems (DSM-5 Item 3)</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Smoked knowing it was causing or</w:t>
                  </w:r>
                  <w:r>
                    <w:t xml:space="preserve"> </w:t>
                  </w:r>
                  <w:r>
                    <w:t xml:space="preserve">worsening a health problem</w:t>
                  </w:r>
                  <w:r>
                    <w:t xml:space="preserve"> </w:t>
                  </w:r>
                  <w:r>
                    <w:t xml:space="preserve">(DSM-5 Item 12)</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Smoked to get rid of withdrawal</w:t>
                  </w:r>
                  <w:r>
                    <w:t xml:space="preserve"> </w:t>
                  </w:r>
                  <w:r>
                    <w:t xml:space="preserve">feelings (DSM-5 Item 7)</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Smokes when so ill they are in</w:t>
                  </w:r>
                  <w:r>
                    <w:t xml:space="preserve"> </w:t>
                  </w:r>
                  <w:r>
                    <w:t xml:space="preserve">bed most of the day (FTND Item</w:t>
                  </w:r>
                  <w:r>
                    <w:t xml:space="preserve"> </w:t>
                  </w:r>
                  <w:r>
                    <w:t xml:space="preserve">6)</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Zyban (bupropion) during</w:t>
                  </w:r>
                  <w:r>
                    <w:t xml:space="preserve"> </w:t>
                  </w:r>
                  <w:r>
                    <w:t xml:space="preserve">previous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nicotine gum during</w:t>
                  </w:r>
                  <w:r>
                    <w:t xml:space="preserve"> </w:t>
                  </w:r>
                  <w:r>
                    <w:t xml:space="preserve">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Social/Environmental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w:t>
                  </w:r>
                  <w:r>
                    <w:t xml:space="preserve"> </w:t>
                  </w:r>
                  <w:r>
                    <w:t xml:space="preserve">spouse/partner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another</w:t>
                  </w:r>
                  <w:r>
                    <w:t xml:space="preserve"> </w:t>
                  </w:r>
                  <w:r>
                    <w:t xml:space="preserve">smoker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work outside the home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co-worker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does</w:t>
                  </w:r>
                  <w:r>
                    <w:t xml:space="preserve"> </w:t>
                  </w:r>
                  <w:r>
                    <w:t xml:space="preserve">not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Lives alone or only with a</w:t>
                  </w:r>
                  <w:r>
                    <w:t xml:space="preserve"> </w:t>
                  </w:r>
                  <w:r>
                    <w:t xml:space="preserve">partner</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Lives with another smoker</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No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No smoking allowed anywhere at</w:t>
                  </w:r>
                  <w:r>
                    <w:t xml:space="preserve"> </w:t>
                  </w:r>
                  <w:r>
                    <w:t xml:space="preserve">their workplace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Smoking only allowed in some</w:t>
                  </w:r>
                  <w:r>
                    <w:t xml:space="preserve"> </w:t>
                  </w:r>
                  <w:r>
                    <w:t xml:space="preserve">parts of workplace</w:t>
                  </w:r>
                </w:p>
              </w:tc>
              <w:tc>
                <w:tcPr/>
                <w:p>
                  <w:pPr>
                    <w:pStyle w:val="Compact"/>
                    <w:jc w:val="center"/>
                    <w:jc w:val="center"/>
                  </w:pPr>
                  <w:r>
                    <w:t xml:space="preserve">-</w:t>
                  </w:r>
                </w:p>
              </w:tc>
              <w:tc>
                <w:tcPr/>
                <w:p>
                  <w:pPr>
                    <w:pStyle w:val="Compact"/>
                  </w:pPr>
                </w:p>
              </w:tc>
              <w:tc>
                <w:tcPr/>
                <w:p>
                  <w:pPr>
                    <w:pStyle w:val="Compact"/>
                  </w:pPr>
                </w:p>
              </w:tc>
            </w:tr>
          </w:tbl>
          <w:bookmarkEnd w:id="74"/>
          <w:p/>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Make All Tables for Main Manuscript</w:t>
        </w:r>
      </w:hyperlink>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bookmarkEnd w:id="76"/>
    <w:bookmarkStart w:id="82"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Shapley values describe the relative importance of features.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80" w:name="fig-shap-global"/>
          <w:p>
            <w:pPr>
              <w:pStyle w:val="Compact"/>
              <w:jc w:val="center"/>
            </w:pPr>
            <w:r>
              <w:drawing>
                <wp:inline>
                  <wp:extent cx="5334000" cy="6858000"/>
                  <wp:effectExtent b="0" l="0" r="0" t="0"/>
                  <wp:docPr descr="" title="" id="78" name="Picture"/>
                  <a:graphic>
                    <a:graphicData uri="http://schemas.openxmlformats.org/drawingml/2006/picture">
                      <pic:pic>
                        <pic:nvPicPr>
                          <pic:cNvPr descr="index_files/figure-docx/notebooks-shap_4wk-fig-shap-global-output-1.png" id="79" name="Picture"/>
                          <pic:cNvPicPr>
                            <a:picLocks noChangeArrowheads="1" noChangeAspect="1"/>
                          </pic:cNvPicPr>
                        </pic:nvPicPr>
                        <pic:blipFill>
                          <a:blip r:embed="rId77"/>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80"/>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SHAP for 4-Week Model</w:t>
        </w:r>
      </w:hyperlink>
    </w:p>
    <w:bookmarkEnd w:id="82"/>
    <w:bookmarkEnd w:id="83"/>
    <w:bookmarkEnd w:id="84"/>
    <w:bookmarkStart w:id="92" w:name="aim-2-results-clinical-benefit"/>
    <w:p>
      <w:pPr>
        <w:pStyle w:val="Heading3"/>
      </w:pPr>
      <w:r>
        <w:t xml:space="preserve">AIM 2 results: Clinical benefit</w:t>
      </w:r>
    </w:p>
    <w:p>
      <w:pPr>
        <w:pStyle w:val="FirstParagraph"/>
      </w:pPr>
      <w:r>
        <w:t xml:space="preserve">There was a significant fixed effect of treatment matching on abstinence (OR = XX,</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XX,</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85"/>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XX,</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3</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0" w:name="fig-clin-ben-wk4"/>
          <w:p>
            <w:pPr>
              <w:pStyle w:val="Compact"/>
              <w:jc w:val="center"/>
            </w:pPr>
            <w:bookmarkStart w:id="89" w:name="fig-clin-ben-wk4"/>
            <w:r>
              <w:drawing>
                <wp:inline>
                  <wp:extent cx="5334000" cy="3810000"/>
                  <wp:effectExtent b="0" l="0" r="0" t="0"/>
                  <wp:docPr descr="" title="" id="87" name="Picture"/>
                  <a:graphic>
                    <a:graphicData uri="http://schemas.openxmlformats.org/drawingml/2006/picture">
                      <pic:pic>
                        <pic:nvPicPr>
                          <pic:cNvPr descr="index_files/figure-docx/notebooks-eval_benefit_4wk-fig-clin-ben-wk4-output-2.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bookmarkEnd w:id="89"/>
          </w:p>
          <w:p>
            <w:pPr>
              <w:jc w:val="center"/>
            </w:pPr>
            <w:pPr>
              <w:jc w:val="start"/>
              <w:spacing w:before="200"/>
              <w:pStyle w:val="ImageCaption"/>
            </w:pPr>
            <w:r>
              <w:t xml:space="preserve">Figure 3</w:t>
            </w:r>
          </w:p>
          <w:bookmarkEnd w:id="90"/>
        </w:tc>
      </w:tr>
    </w:tbl>
    <w:p>
      <w:pPr>
        <w:pStyle w:val="BodyText"/>
      </w:pPr>
      <w:r>
        <w:rPr>
          <w:vertAlign w:val="subscript"/>
        </w:rPr>
        <w:t xml:space="preserve">Source:</w:t>
      </w:r>
      <w:r>
        <w:rPr>
          <w:vertAlign w:val="subscript"/>
        </w:rPr>
        <w:t xml:space="preserve"> </w:t>
      </w:r>
      <w:hyperlink r:id="rId91">
        <w:r>
          <w:rPr>
            <w:rStyle w:val="Hyperlink"/>
            <w:vertAlign w:val="subscript"/>
          </w:rPr>
          <w:t xml:space="preserve">Evaluation of Clinical Benefit: Week 4 Model</w:t>
        </w:r>
      </w:hyperlink>
    </w:p>
    <w:bookmarkEnd w:id="92"/>
    <w:bookmarkEnd w:id="93"/>
    <w:bookmarkStart w:id="329"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94"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39% at 4 weeks. The mean abstinence rate at 4 weeks in this study (among people who did and did not receive their best treatment, as might be expected using current treatment selection procedures) was 34%. Although this difference may seem somewhat small numerically, this represents a vast improvement. The best available smoking cessation treatments (i.e., varenicline or C-NRT plus psychosocial counseling) double the likelihood that an individual will quit successfully</w:t>
      </w:r>
      <w:r>
        <w:t xml:space="preserve"> </w:t>
      </w:r>
      <w:r>
        <w:t xml:space="preserve">(Baker and McCarthy 2021)</w:t>
      </w:r>
      <w:r>
        <w:t xml:space="preserve">. Thus, we might expect that these individuals would have had a 17% abstinence rate without any treatment. Using our model yields another 5% increase on top of this 17% increase - almost another third beyond what our</w:t>
      </w:r>
      <w:r>
        <w:t xml:space="preserve"> </w:t>
      </w:r>
      <w:r>
        <w:rPr>
          <w:iCs/>
          <w:i/>
        </w:rPr>
        <w:t xml:space="preserve">best</w:t>
      </w:r>
      <w:r>
        <w:t xml:space="preserve"> </w:t>
      </w:r>
      <w:r>
        <w:t xml:space="preserve">treatments currently offer.</w:t>
      </w:r>
    </w:p>
    <w:p>
      <w:pPr>
        <w:pStyle w:val="BodyText"/>
      </w:pPr>
      <w:r>
        <w:t xml:space="preserve">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94"/>
    <w:bookmarkStart w:id="95" w:name="predictive-performance"/>
    <w:p>
      <w:pPr>
        <w:pStyle w:val="Heading3"/>
      </w:pPr>
      <w:r>
        <w:t xml:space="preserve">Predictive performance</w:t>
      </w:r>
    </w:p>
    <w:p>
      <w:pPr>
        <w:pStyle w:val="FirstParagraph"/>
      </w:pPr>
      <w:r>
        <w:t xml:space="preserve">We evaluated our model based on performance across held-out test sets. We observed a median auROC of 0.695, and the Bayesian CI around the auROC indicated that our model is capturing predictive signal. However, this is not particularly strong performance. It is possible that we could have improved prediction if we incorporated biological markers or genetic data given extant literature suggesting their value</w:t>
      </w:r>
      <w:r>
        <w:t xml:space="preserve"> </w:t>
      </w:r>
      <w:r>
        <w:t xml:space="preserve">(Chen, Horton, and Bierut 2018)</w:t>
      </w:r>
      <w:r>
        <w:t xml:space="preserve">. This potential improvement would have come at a cost to implementation given the relative inaccessibility of genetic and biological testing</w:t>
      </w:r>
      <w:r>
        <w:t xml:space="preserve"> </w:t>
      </w:r>
      <w:r>
        <w:t xml:space="preserve">(MacEachern and Forkert 2021)</w:t>
      </w:r>
      <w:r>
        <w:t xml:space="preserve">.</w:t>
      </w:r>
    </w:p>
    <w:p>
      <w:pPr>
        <w:pStyle w:val="BodyText"/>
      </w:pPr>
      <w:r>
        <w:t xml:space="preserve">Although we used auROC to select among and evaluate our model’s performance, our primary goal was not overall prediction. Capturing some signal with our model was necessary to yield credible predictions and establish the relevance of features, but it was insufficient for our purpose. A model that predicted abstinence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p>
      <w:pPr>
        <w:pStyle w:val="BodyText"/>
      </w:pPr>
      <w:r>
        <w:t xml:space="preserve">Perhaps more important than auROC for our purpose, then, is our model’s calibration. Our predictions were well-calibrated such that we can trust their ordinal ranking. This is critical because what is used in our treatment selection process is the</w:t>
      </w:r>
      <w:r>
        <w:t xml:space="preserve"> </w:t>
      </w:r>
      <w:r>
        <w:rPr>
          <w:iCs/>
          <w:i/>
        </w:rPr>
        <w:t xml:space="preserve">order</w:t>
      </w:r>
      <w:r>
        <w:t xml:space="preserve"> </w:t>
      </w:r>
      <w:r>
        <w:t xml:space="preserve">of predicted probabilities for each person rather than the values themselves.</w:t>
      </w:r>
    </w:p>
    <w:bookmarkEnd w:id="95"/>
    <w:bookmarkStart w:id="99"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which outputs parameter estimates and reduces dimensionality of the feature set. We also calculated Shapley values to understand relative feature importance among the predictors in our model.</w:t>
      </w:r>
    </w:p>
    <w:bookmarkStart w:id="96"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factors that predict differential success (i.e., features that interact with treatment).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factor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 For example, it makes sense that having most of your friends or family smoke would decrease the probability of quitting successfully. What may be less immediately intuitive, however, is why this characteristic further decreases the probability of quitting successfully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96"/>
    <w:bookmarkStart w:id="97"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smoking cessation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smoking cessation. In particular, they support the conclusion from a recent review that predictors of smoking cessation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a greater chance of successfully quitting. Perhaps motivational interviewing/motivational enhancement therapy techniques that might address these factors could be used in pre-cessation counseling. These improvements could be made more scalable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97"/>
    <w:bookmarkStart w:id="98"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98"/>
    <w:bookmarkEnd w:id="99"/>
    <w:bookmarkStart w:id="103" w:name="future-directions"/>
    <w:p>
      <w:pPr>
        <w:pStyle w:val="Heading3"/>
      </w:pPr>
      <w:r>
        <w:t xml:space="preserve">Future directions</w:t>
      </w:r>
    </w:p>
    <w:bookmarkStart w:id="100"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100"/>
    <w:bookmarkStart w:id="101"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compare treatment success among individuals who receive a model-assigned best treatment to treatment success when using traditional treatment selection. This will assess the clinical benefit of our treatment selection model in an entirely new sample.</w:t>
      </w:r>
    </w:p>
    <w:bookmarkEnd w:id="101"/>
    <w:bookmarkStart w:id="102" w:name="X934b3b3af83d8c204ee80d04593d9f0949c9f27"/>
    <w:p>
      <w:pPr>
        <w:pStyle w:val="Heading4"/>
      </w:pPr>
      <w:r>
        <w:t xml:space="preserve">Precision mental health for chronic, relapsing disorders</w:t>
      </w:r>
    </w:p>
    <w:p>
      <w:pPr>
        <w:pStyle w:val="FirstParagraph"/>
      </w:pPr>
      <w:r>
        <w:t xml:space="preserve">Alongside many exciting findings, this project also demonstrates that it is difficult to predict complex outcomes like treatment success using distal predictors. Indeed, our model predicting point-prevalence abstinence at 4 weeks was not particularly accurate, but model performance became even worse when we built models predicting 6-month abstinence rates (median auROC across held-out test sets: 0.629;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statistical or numeric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(shown to be a prognostic factor predicting smoking cessation),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still quite useful.</w:t>
      </w:r>
    </w:p>
    <w:p>
      <w:pPr>
        <w:pStyle w:val="BodyText"/>
      </w:pPr>
      <w:r>
        <w:t xml:space="preserve">Nevertheless, we were of course hopeful that treatment matching benefits would endure. However, it is perhaps unsurprising that they do not. Many of the baseline characteristics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predictors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may be that the factors that predict differential treatment success at 4 weeks are qualitatively different than those that predict differential treatment success later on. We have the opportunity to examine these potential differences by comparing feature importance for our 4-week models with feature importance from models built to predict later outcomes.</w:t>
      </w:r>
    </w:p>
    <w:p>
      <w:pPr>
        <w:pStyle w:val="BodyText"/>
      </w:pPr>
      <w:r>
        <w:t xml:space="preserve">Second, it may be that there are consistent relationships among predictors and outcomes over time, but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assesses whether someone lives with another smoker other than their spouse/partner. The same answer to this question increases the likelihood of quitting using C-NRT and decreases the likelihood of quitting using varenicline in our model.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our finding that abstinence rates declined over time (i.e., main effect of time),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102"/>
    <w:bookmarkEnd w:id="103"/>
    <w:bookmarkStart w:id="328"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Start w:id="327" w:name="refs"/>
    <w:bookmarkStart w:id="105"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04">
        <w:r>
          <w:rPr>
            <w:rStyle w:val="Hyperlink"/>
          </w:rPr>
          <w:t xml:space="preserve">https://doi.org/10.1016/j.jval.2022.04.206</w:t>
        </w:r>
      </w:hyperlink>
      <w:r>
        <w:t xml:space="preserve">.</w:t>
      </w:r>
    </w:p>
    <w:bookmarkEnd w:id="105"/>
    <w:bookmarkStart w:id="107"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06">
        <w:r>
          <w:rPr>
            <w:rStyle w:val="Hyperlink"/>
          </w:rPr>
          <w:t xml:space="preserve">https://doi.org/10.1016/S2468-2667(19)30112-4</w:t>
        </w:r>
      </w:hyperlink>
      <w:r>
        <w:t xml:space="preserve">.</w:t>
      </w:r>
    </w:p>
    <w:bookmarkEnd w:id="107"/>
    <w:bookmarkStart w:id="109"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08">
        <w:r>
          <w:rPr>
            <w:rStyle w:val="Hyperlink"/>
          </w:rPr>
          <w:t xml:space="preserve">https://doi.org/10.1176/appi.books.9780890425596</w:t>
        </w:r>
      </w:hyperlink>
      <w:r>
        <w:t xml:space="preserve">.</w:t>
      </w:r>
    </w:p>
    <w:bookmarkEnd w:id="109"/>
    <w:bookmarkStart w:id="111"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10">
        <w:r>
          <w:rPr>
            <w:rStyle w:val="Hyperlink"/>
          </w:rPr>
          <w:t xml:space="preserve">https://doi.org/10.1056/NEJMp1301935</w:t>
        </w:r>
      </w:hyperlink>
      <w:r>
        <w:t xml:space="preserve">.</w:t>
      </w:r>
    </w:p>
    <w:bookmarkEnd w:id="111"/>
    <w:bookmarkStart w:id="113"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12">
        <w:r>
          <w:rPr>
            <w:rStyle w:val="Hyperlink"/>
          </w:rPr>
          <w:t xml:space="preserve">https://doi.org/10.1146/annurev-clinpsy-081219-090343</w:t>
        </w:r>
      </w:hyperlink>
      <w:r>
        <w:t xml:space="preserve">.</w:t>
      </w:r>
    </w:p>
    <w:bookmarkEnd w:id="113"/>
    <w:bookmarkStart w:id="115"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14">
        <w:r>
          <w:rPr>
            <w:rStyle w:val="Hyperlink"/>
          </w:rPr>
          <w:t xml:space="preserve">https://doi.org/10.1001/jama.2015.19284</w:t>
        </w:r>
      </w:hyperlink>
      <w:r>
        <w:t xml:space="preserve">.</w:t>
      </w:r>
    </w:p>
    <w:bookmarkEnd w:id="115"/>
    <w:bookmarkStart w:id="117"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16">
        <w:r>
          <w:rPr>
            <w:rStyle w:val="Hyperlink"/>
          </w:rPr>
          <w:t xml:space="preserve">https://doi.org/10.1176/appi.ajp.21100972</w:t>
        </w:r>
      </w:hyperlink>
      <w:r>
        <w:t xml:space="preserve">.</w:t>
      </w:r>
    </w:p>
    <w:bookmarkEnd w:id="117"/>
    <w:bookmarkStart w:id="119"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18">
        <w:r>
          <w:rPr>
            <w:rStyle w:val="Hyperlink"/>
          </w:rPr>
          <w:t xml:space="preserve">https://doi.org/10.1016/j.addicn.2023.100068</w:t>
        </w:r>
      </w:hyperlink>
      <w:r>
        <w:t xml:space="preserve">.</w:t>
      </w:r>
    </w:p>
    <w:bookmarkEnd w:id="119"/>
    <w:bookmarkStart w:id="121"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20">
        <w:r>
          <w:rPr>
            <w:rStyle w:val="Hyperlink"/>
          </w:rPr>
          <w:t xml:space="preserve">https://doi.org/10.1007/s10488-020-01065-8</w:t>
        </w:r>
      </w:hyperlink>
      <w:r>
        <w:t xml:space="preserve">.</w:t>
      </w:r>
    </w:p>
    <w:bookmarkEnd w:id="121"/>
    <w:bookmarkStart w:id="12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22">
        <w:r>
          <w:rPr>
            <w:rStyle w:val="Hyperlink"/>
          </w:rPr>
          <w:t xml:space="preserve">https://doi.org/10.1007/s10488-016-0718-5</w:t>
        </w:r>
      </w:hyperlink>
      <w:r>
        <w:t xml:space="preserve">.</w:t>
      </w:r>
    </w:p>
    <w:bookmarkEnd w:id="123"/>
    <w:bookmarkStart w:id="124"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24"/>
    <w:bookmarkStart w:id="126"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25">
        <w:r>
          <w:rPr>
            <w:rStyle w:val="Hyperlink"/>
          </w:rPr>
          <w:t xml:space="preserve">https://doi.org/10.1146/annurev-clinpsy-050817-084847</w:t>
        </w:r>
      </w:hyperlink>
      <w:r>
        <w:t xml:space="preserve">.</w:t>
      </w:r>
    </w:p>
    <w:bookmarkEnd w:id="126"/>
    <w:bookmarkStart w:id="128"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27">
        <w:r>
          <w:rPr>
            <w:rStyle w:val="Hyperlink"/>
          </w:rPr>
          <w:t xml:space="preserve">https://doi.org/10.1146/annurev.clinpsy.3.022806.091455</w:t>
        </w:r>
      </w:hyperlink>
      <w:r>
        <w:t xml:space="preserve">.</w:t>
      </w:r>
    </w:p>
    <w:bookmarkEnd w:id="128"/>
    <w:bookmarkStart w:id="130"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29">
        <w:r>
          <w:rPr>
            <w:rStyle w:val="Hyperlink"/>
          </w:rPr>
          <w:t xml:space="preserve">https://doi.org/10.1002/14651858.CD006103.pub7</w:t>
        </w:r>
      </w:hyperlink>
      <w:r>
        <w:t xml:space="preserve">.</w:t>
      </w:r>
    </w:p>
    <w:bookmarkEnd w:id="130"/>
    <w:bookmarkStart w:id="132"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31">
        <w:r>
          <w:rPr>
            <w:rStyle w:val="Hyperlink"/>
          </w:rPr>
          <w:t xml:space="preserve">https://doi.org/10.1002/14651858.CD009329.pub2</w:t>
        </w:r>
      </w:hyperlink>
      <w:r>
        <w:t xml:space="preserve">.</w:t>
      </w:r>
    </w:p>
    <w:bookmarkEnd w:id="132"/>
    <w:bookmarkStart w:id="134"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133">
        <w:r>
          <w:rPr>
            <w:rStyle w:val="Hyperlink"/>
          </w:rPr>
          <w:t xml:space="preserve">https://doi.org/10.5888/pcd14.160600</w:t>
        </w:r>
      </w:hyperlink>
      <w:r>
        <w:t xml:space="preserve">.</w:t>
      </w:r>
    </w:p>
    <w:bookmarkEnd w:id="134"/>
    <w:bookmarkStart w:id="135"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35"/>
    <w:bookmarkStart w:id="137"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36">
        <w:r>
          <w:rPr>
            <w:rStyle w:val="Hyperlink"/>
          </w:rPr>
          <w:t xml:space="preserve">https://doi.org/10.1136/bmjopen-2016-011045</w:t>
        </w:r>
      </w:hyperlink>
      <w:r>
        <w:t xml:space="preserve">.</w:t>
      </w:r>
    </w:p>
    <w:bookmarkEnd w:id="137"/>
    <w:bookmarkStart w:id="139"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38">
        <w:r>
          <w:rPr>
            <w:rStyle w:val="Hyperlink"/>
          </w:rPr>
          <w:t xml:space="preserve">https://doi.org/10.1002/cpt.1971</w:t>
        </w:r>
      </w:hyperlink>
      <w:r>
        <w:t xml:space="preserve">.</w:t>
      </w:r>
    </w:p>
    <w:bookmarkEnd w:id="139"/>
    <w:bookmarkStart w:id="141"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40">
        <w:r>
          <w:rPr>
            <w:rStyle w:val="Hyperlink"/>
          </w:rPr>
          <w:t xml:space="preserve">https://doi.org/10.1016/j.neulet.2016.05.033</w:t>
        </w:r>
      </w:hyperlink>
      <w:r>
        <w:t xml:space="preserve">.</w:t>
      </w:r>
    </w:p>
    <w:bookmarkEnd w:id="141"/>
    <w:bookmarkStart w:id="143"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42">
        <w:r>
          <w:rPr>
            <w:rStyle w:val="Hyperlink"/>
          </w:rPr>
          <w:t xml:space="preserve">https://doi.org/10.1093/ntr/ntv125</w:t>
        </w:r>
      </w:hyperlink>
      <w:r>
        <w:t xml:space="preserve">.</w:t>
      </w:r>
    </w:p>
    <w:bookmarkEnd w:id="143"/>
    <w:bookmarkStart w:id="145"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144">
        <w:r>
          <w:rPr>
            <w:rStyle w:val="Hyperlink"/>
          </w:rPr>
          <w:t xml:space="preserve">https://doi.org/10.1007/s11336-013-9328-2</w:t>
        </w:r>
      </w:hyperlink>
      <w:r>
        <w:t xml:space="preserve">.</w:t>
      </w:r>
    </w:p>
    <w:bookmarkEnd w:id="145"/>
    <w:bookmarkStart w:id="147"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46">
        <w:r>
          <w:rPr>
            <w:rStyle w:val="Hyperlink"/>
          </w:rPr>
          <w:t xml:space="preserve">https://doi.org/10.1146/annurev-clinpsy-050817-084746</w:t>
        </w:r>
      </w:hyperlink>
      <w:r>
        <w:t xml:space="preserve">.</w:t>
      </w:r>
    </w:p>
    <w:bookmarkEnd w:id="147"/>
    <w:bookmarkStart w:id="149"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48">
        <w:r>
          <w:rPr>
            <w:rStyle w:val="Hyperlink"/>
          </w:rPr>
          <w:t xml:space="preserve">https://doi.org/10.1007/978-3-319-72206-1</w:t>
        </w:r>
      </w:hyperlink>
      <w:r>
        <w:t xml:space="preserve">.</w:t>
      </w:r>
    </w:p>
    <w:bookmarkEnd w:id="149"/>
    <w:bookmarkStart w:id="151"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50">
        <w:r>
          <w:rPr>
            <w:rStyle w:val="Hyperlink"/>
          </w:rPr>
          <w:t xml:space="preserve">https://doi.org/10.15585/mmwr.mm6946a4</w:t>
        </w:r>
      </w:hyperlink>
      <w:r>
        <w:t xml:space="preserve">.</w:t>
      </w:r>
    </w:p>
    <w:bookmarkEnd w:id="151"/>
    <w:bookmarkStart w:id="153"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52">
        <w:r>
          <w:rPr>
            <w:rStyle w:val="Hyperlink"/>
          </w:rPr>
          <w:t xml:space="preserve">https://doi.org/10.1093/ntr/nty259</w:t>
        </w:r>
      </w:hyperlink>
      <w:r>
        <w:t xml:space="preserve">.</w:t>
      </w:r>
    </w:p>
    <w:bookmarkEnd w:id="153"/>
    <w:bookmarkStart w:id="155"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54">
        <w:r>
          <w:rPr>
            <w:rStyle w:val="Hyperlink"/>
          </w:rPr>
          <w:t xml:space="preserve">https://doi.org/10.1348/0144665031752934</w:t>
        </w:r>
      </w:hyperlink>
      <w:r>
        <w:t xml:space="preserve">.</w:t>
      </w:r>
    </w:p>
    <w:bookmarkEnd w:id="155"/>
    <w:bookmarkStart w:id="157"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56">
        <w:r>
          <w:rPr>
            <w:rStyle w:val="Hyperlink"/>
          </w:rPr>
          <w:t xml:space="preserve">https://doi.org/10.1016/j.addbeh.2016.12.011</w:t>
        </w:r>
      </w:hyperlink>
      <w:r>
        <w:t xml:space="preserve">.</w:t>
      </w:r>
    </w:p>
    <w:bookmarkEnd w:id="157"/>
    <w:bookmarkStart w:id="159"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58">
        <w:r>
          <w:rPr>
            <w:rStyle w:val="Hyperlink"/>
          </w:rPr>
          <w:t xml:space="preserve">https://doi.org/10.1016/j.addbeh.2003.08.014</w:t>
        </w:r>
      </w:hyperlink>
      <w:r>
        <w:t xml:space="preserve">.</w:t>
      </w:r>
    </w:p>
    <w:bookmarkEnd w:id="159"/>
    <w:bookmarkStart w:id="16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60">
        <w:r>
          <w:rPr>
            <w:rStyle w:val="Hyperlink"/>
          </w:rPr>
          <w:t xml:space="preserve">https://doi.org/10.1016/j.brat.2019.103506</w:t>
        </w:r>
      </w:hyperlink>
      <w:r>
        <w:t xml:space="preserve">.</w:t>
      </w:r>
    </w:p>
    <w:bookmarkEnd w:id="161"/>
    <w:bookmarkStart w:id="163"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62">
        <w:r>
          <w:rPr>
            <w:rStyle w:val="Hyperlink"/>
          </w:rPr>
          <w:t xml:space="preserve">https://doi.org/10.1371/journal.pone.0083875</w:t>
        </w:r>
      </w:hyperlink>
      <w:r>
        <w:t xml:space="preserve">.</w:t>
      </w:r>
    </w:p>
    <w:bookmarkEnd w:id="163"/>
    <w:bookmarkStart w:id="164"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64"/>
    <w:bookmarkStart w:id="166"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65">
        <w:r>
          <w:rPr>
            <w:rStyle w:val="Hyperlink"/>
          </w:rPr>
          <w:t xml:space="preserve">https://doi.org/10.1146/annurev-clinpsy-032816-045037</w:t>
        </w:r>
      </w:hyperlink>
      <w:r>
        <w:t xml:space="preserve">.</w:t>
      </w:r>
    </w:p>
    <w:bookmarkEnd w:id="166"/>
    <w:bookmarkStart w:id="168"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67">
        <w:r>
          <w:rPr>
            <w:rStyle w:val="Hyperlink"/>
          </w:rPr>
          <w:t xml:space="preserve">https://doi.org/10.1186/s12889-023-15859-6</w:t>
        </w:r>
      </w:hyperlink>
      <w:r>
        <w:t xml:space="preserve">.</w:t>
      </w:r>
    </w:p>
    <w:bookmarkEnd w:id="168"/>
    <w:bookmarkStart w:id="170"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69">
        <w:r>
          <w:rPr>
            <w:rStyle w:val="Hyperlink"/>
          </w:rPr>
          <w:t xml:space="preserve">https://doi.org/10.3390/info14080426</w:t>
        </w:r>
      </w:hyperlink>
      <w:r>
        <w:t xml:space="preserve">.</w:t>
      </w:r>
    </w:p>
    <w:bookmarkEnd w:id="170"/>
    <w:bookmarkStart w:id="172"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71">
        <w:r>
          <w:rPr>
            <w:rStyle w:val="Hyperlink"/>
          </w:rPr>
          <w:t xml:space="preserve">https://doi.org/10.1016/j.biopsych.2020.02.015</w:t>
        </w:r>
      </w:hyperlink>
      <w:r>
        <w:t xml:space="preserve">.</w:t>
      </w:r>
    </w:p>
    <w:bookmarkEnd w:id="172"/>
    <w:bookmarkStart w:id="174"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73">
        <w:r>
          <w:rPr>
            <w:rStyle w:val="Hyperlink"/>
          </w:rPr>
          <w:t xml:space="preserve">https://doi.org/10.1038/ng.3404</w:t>
        </w:r>
      </w:hyperlink>
      <w:r>
        <w:t xml:space="preserve">.</w:t>
      </w:r>
    </w:p>
    <w:bookmarkEnd w:id="174"/>
    <w:bookmarkStart w:id="175"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75"/>
    <w:bookmarkStart w:id="176"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76"/>
    <w:bookmarkStart w:id="178"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77">
        <w:r>
          <w:rPr>
            <w:rStyle w:val="Hyperlink"/>
          </w:rPr>
          <w:t xml:space="preserve">https://doi.org/10.1037/pha0000141</w:t>
        </w:r>
      </w:hyperlink>
      <w:r>
        <w:t xml:space="preserve">.</w:t>
      </w:r>
    </w:p>
    <w:bookmarkEnd w:id="178"/>
    <w:bookmarkStart w:id="180"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79">
        <w:r>
          <w:rPr>
            <w:rStyle w:val="Hyperlink"/>
          </w:rPr>
          <w:t xml:space="preserve">https://doi.org/10.1038/clpt.2014.124</w:t>
        </w:r>
      </w:hyperlink>
      <w:r>
        <w:t xml:space="preserve">.</w:t>
      </w:r>
    </w:p>
    <w:bookmarkEnd w:id="180"/>
    <w:bookmarkStart w:id="18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81"/>
    <w:bookmarkStart w:id="183"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82">
        <w:r>
          <w:rPr>
            <w:rStyle w:val="Hyperlink"/>
          </w:rPr>
          <w:t xml:space="preserve">https://doi.org/10.1080/10826084.2019.1691593</w:t>
        </w:r>
      </w:hyperlink>
      <w:r>
        <w:t xml:space="preserve">.</w:t>
      </w:r>
    </w:p>
    <w:bookmarkEnd w:id="183"/>
    <w:bookmarkStart w:id="184"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84"/>
    <w:bookmarkStart w:id="186"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85">
        <w:r>
          <w:rPr>
            <w:rStyle w:val="Hyperlink"/>
          </w:rPr>
          <w:t xml:space="preserve">https://doi.org/10.1016/j.amepre.2017.01.038</w:t>
        </w:r>
      </w:hyperlink>
      <w:r>
        <w:t xml:space="preserve">.</w:t>
      </w:r>
    </w:p>
    <w:bookmarkEnd w:id="186"/>
    <w:bookmarkStart w:id="188"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87">
        <w:r>
          <w:rPr>
            <w:rStyle w:val="Hyperlink"/>
          </w:rPr>
          <w:t xml:space="preserve">https://doi.org/10.1371/journal.pcbi.1005589</w:t>
        </w:r>
      </w:hyperlink>
      <w:r>
        <w:t xml:space="preserve">.</w:t>
      </w:r>
    </w:p>
    <w:bookmarkEnd w:id="188"/>
    <w:bookmarkStart w:id="190"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89">
        <w:r>
          <w:rPr>
            <w:rStyle w:val="Hyperlink"/>
          </w:rPr>
          <w:t xml:space="preserve">https://doi.org/10.1176/appi.ajp.2014.14020138</w:t>
        </w:r>
      </w:hyperlink>
      <w:r>
        <w:t xml:space="preserve">.</w:t>
      </w:r>
    </w:p>
    <w:bookmarkEnd w:id="190"/>
    <w:bookmarkStart w:id="192"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91">
        <w:r>
          <w:rPr>
            <w:rStyle w:val="Hyperlink"/>
          </w:rPr>
          <w:t xml:space="preserve">https://doi.org/10.1371/journal.pone.0286883</w:t>
        </w:r>
      </w:hyperlink>
      <w:r>
        <w:t xml:space="preserve">.</w:t>
      </w:r>
    </w:p>
    <w:bookmarkEnd w:id="192"/>
    <w:bookmarkStart w:id="193"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93"/>
    <w:bookmarkStart w:id="195"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94">
        <w:r>
          <w:rPr>
            <w:rStyle w:val="Hyperlink"/>
          </w:rPr>
          <w:t xml:space="preserve">https://doi.org/10.15585/mmwr.mm6444a2</w:t>
        </w:r>
      </w:hyperlink>
      <w:r>
        <w:t xml:space="preserve">.</w:t>
      </w:r>
    </w:p>
    <w:bookmarkEnd w:id="195"/>
    <w:bookmarkStart w:id="197"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96">
        <w:r>
          <w:rPr>
            <w:rStyle w:val="Hyperlink"/>
          </w:rPr>
          <w:t xml:space="preserve">https://doi.org/10.1007/978-1-4614-7138-7</w:t>
        </w:r>
      </w:hyperlink>
      <w:r>
        <w:t xml:space="preserve">.</w:t>
      </w:r>
    </w:p>
    <w:bookmarkEnd w:id="197"/>
    <w:bookmarkStart w:id="199"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98">
        <w:r>
          <w:rPr>
            <w:rStyle w:val="Hyperlink"/>
          </w:rPr>
          <w:t xml:space="preserve">https://doi.org/10.1056/NEJMsa1211128</w:t>
        </w:r>
      </w:hyperlink>
      <w:r>
        <w:t xml:space="preserve">.</w:t>
      </w:r>
    </w:p>
    <w:bookmarkEnd w:id="199"/>
    <w:bookmarkStart w:id="201"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200">
        <w:r>
          <w:rPr>
            <w:rStyle w:val="Hyperlink"/>
          </w:rPr>
          <w:t xml:space="preserve">https://doi.org/10.1023/A:1008987426876</w:t>
        </w:r>
      </w:hyperlink>
      <w:r>
        <w:t xml:space="preserve">.</w:t>
      </w:r>
    </w:p>
    <w:bookmarkEnd w:id="201"/>
    <w:bookmarkStart w:id="203"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02">
        <w:r>
          <w:rPr>
            <w:rStyle w:val="Hyperlink"/>
          </w:rPr>
          <w:t xml:space="preserve">https://doi.org/10.1080/17460441.2018.1458090</w:t>
        </w:r>
      </w:hyperlink>
      <w:r>
        <w:t xml:space="preserve">.</w:t>
      </w:r>
    </w:p>
    <w:bookmarkEnd w:id="203"/>
    <w:bookmarkStart w:id="204"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04"/>
    <w:bookmarkStart w:id="206"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05">
        <w:r>
          <w:rPr>
            <w:rStyle w:val="Hyperlink"/>
          </w:rPr>
          <w:t xml:space="preserve">https://doi.org/10.1111/j.1475-6773.2011.01314.x</w:t>
        </w:r>
      </w:hyperlink>
      <w:r>
        <w:t xml:space="preserve">.</w:t>
      </w:r>
    </w:p>
    <w:bookmarkEnd w:id="206"/>
    <w:bookmarkStart w:id="208"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07">
        <w:r>
          <w:rPr>
            <w:rStyle w:val="Hyperlink"/>
          </w:rPr>
          <w:t xml:space="preserve">https://doi.org/10.1016/j.addbeh.2015.07.019</w:t>
        </w:r>
      </w:hyperlink>
      <w:r>
        <w:t xml:space="preserve">.</w:t>
      </w:r>
    </w:p>
    <w:bookmarkEnd w:id="208"/>
    <w:bookmarkStart w:id="210"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09">
        <w:r>
          <w:rPr>
            <w:rStyle w:val="Hyperlink"/>
          </w:rPr>
          <w:t xml:space="preserve">https://doi.org/10.15288/jsad.2020.81.426</w:t>
        </w:r>
      </w:hyperlink>
      <w:r>
        <w:t xml:space="preserve">.</w:t>
      </w:r>
    </w:p>
    <w:bookmarkEnd w:id="210"/>
    <w:bookmarkStart w:id="212"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11">
        <w:r>
          <w:rPr>
            <w:rStyle w:val="Hyperlink"/>
          </w:rPr>
          <w:t xml:space="preserve">https://doi.org/10.1111/j.1465-3362.2012.00465.x</w:t>
        </w:r>
      </w:hyperlink>
      <w:r>
        <w:t xml:space="preserve">.</w:t>
      </w:r>
    </w:p>
    <w:bookmarkEnd w:id="212"/>
    <w:bookmarkStart w:id="214"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13">
        <w:r>
          <w:rPr>
            <w:rStyle w:val="Hyperlink"/>
          </w:rPr>
          <w:t xml:space="preserve">https://doi.org/10.1001/jamapsychiatry.2021.2500</w:t>
        </w:r>
      </w:hyperlink>
      <w:r>
        <w:t xml:space="preserve">.</w:t>
      </w:r>
    </w:p>
    <w:bookmarkEnd w:id="214"/>
    <w:bookmarkStart w:id="216"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15">
        <w:r>
          <w:rPr>
            <w:rStyle w:val="Hyperlink"/>
          </w:rPr>
          <w:t xml:space="preserve">https://doi.org/10.1037/a0028445</w:t>
        </w:r>
      </w:hyperlink>
      <w:r>
        <w:t xml:space="preserve">.</w:t>
      </w:r>
    </w:p>
    <w:bookmarkEnd w:id="216"/>
    <w:bookmarkStart w:id="218"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17">
        <w:r>
          <w:rPr>
            <w:rStyle w:val="Hyperlink"/>
          </w:rPr>
          <w:t xml:space="preserve">https://doi.org/10.1111/add.13818</w:t>
        </w:r>
      </w:hyperlink>
      <w:r>
        <w:t xml:space="preserve">.</w:t>
      </w:r>
    </w:p>
    <w:bookmarkEnd w:id="218"/>
    <w:bookmarkStart w:id="220"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19">
        <w:r>
          <w:rPr>
            <w:rStyle w:val="Hyperlink"/>
          </w:rPr>
          <w:t xml:space="preserve">https://doi.org/10.1046/j.1525-1497.2001.016009606.x</w:t>
        </w:r>
      </w:hyperlink>
      <w:r>
        <w:t xml:space="preserve">.</w:t>
      </w:r>
    </w:p>
    <w:bookmarkEnd w:id="220"/>
    <w:bookmarkStart w:id="222"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21">
        <w:r>
          <w:rPr>
            <w:rStyle w:val="Hyperlink"/>
          </w:rPr>
          <w:t xml:space="preserve">https://doi.org/10.1186/1758-2946-6-10</w:t>
        </w:r>
      </w:hyperlink>
      <w:r>
        <w:t xml:space="preserve">.</w:t>
      </w:r>
    </w:p>
    <w:bookmarkEnd w:id="222"/>
    <w:bookmarkStart w:id="223"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23"/>
    <w:bookmarkStart w:id="225"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24">
        <w:r>
          <w:rPr>
            <w:rStyle w:val="Hyperlink"/>
          </w:rPr>
          <w:t xml:space="preserve">https://doi.org/10.1007/978-1-4614-6849-3</w:t>
        </w:r>
      </w:hyperlink>
      <w:r>
        <w:t xml:space="preserve">.</w:t>
      </w:r>
    </w:p>
    <w:bookmarkEnd w:id="225"/>
    <w:bookmarkStart w:id="226"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26"/>
    <w:bookmarkStart w:id="228"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27">
        <w:r>
          <w:rPr>
            <w:rStyle w:val="Hyperlink"/>
          </w:rPr>
          <w:t xml:space="preserve">https://doi.org/10.3390/ijerph18052584</w:t>
        </w:r>
      </w:hyperlink>
      <w:r>
        <w:t xml:space="preserve">.</w:t>
      </w:r>
    </w:p>
    <w:bookmarkEnd w:id="228"/>
    <w:bookmarkStart w:id="230"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29">
        <w:r>
          <w:rPr>
            <w:rStyle w:val="Hyperlink"/>
          </w:rPr>
          <w:t xml:space="preserve">https://doi.org/10.1002/acp.1602</w:t>
        </w:r>
      </w:hyperlink>
      <w:r>
        <w:t xml:space="preserve">.</w:t>
      </w:r>
    </w:p>
    <w:bookmarkEnd w:id="230"/>
    <w:bookmarkStart w:id="232"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31">
        <w:r>
          <w:rPr>
            <w:rStyle w:val="Hyperlink"/>
          </w:rPr>
          <w:t xml:space="preserve">https://doi.org/10.1016/S2213-2600(14)70294-2</w:t>
        </w:r>
      </w:hyperlink>
      <w:r>
        <w:t xml:space="preserve">.</w:t>
      </w:r>
    </w:p>
    <w:bookmarkEnd w:id="232"/>
    <w:bookmarkStart w:id="234"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33">
        <w:r>
          <w:rPr>
            <w:rStyle w:val="Hyperlink"/>
          </w:rPr>
          <w:t xml:space="preserve">https://doi.org/10.1080/20008198.2020.1729633</w:t>
        </w:r>
      </w:hyperlink>
      <w:r>
        <w:t xml:space="preserve">.</w:t>
      </w:r>
    </w:p>
    <w:bookmarkEnd w:id="234"/>
    <w:bookmarkStart w:id="236"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35">
        <w:r>
          <w:rPr>
            <w:rStyle w:val="Hyperlink"/>
          </w:rPr>
          <w:t xml:space="preserve">https://doi.org/10.2165/00023210-200418040-00005</w:t>
        </w:r>
      </w:hyperlink>
      <w:r>
        <w:t xml:space="preserve">.</w:t>
      </w:r>
    </w:p>
    <w:bookmarkEnd w:id="236"/>
    <w:bookmarkStart w:id="238"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37">
        <w:r>
          <w:rPr>
            <w:rStyle w:val="Hyperlink"/>
          </w:rPr>
          <w:t xml:space="preserve">https://doi.org/10.1002/14651858.CD013308</w:t>
        </w:r>
      </w:hyperlink>
      <w:r>
        <w:t xml:space="preserve">.</w:t>
      </w:r>
    </w:p>
    <w:bookmarkEnd w:id="238"/>
    <w:bookmarkStart w:id="23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39"/>
    <w:bookmarkStart w:id="241"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40">
        <w:r>
          <w:rPr>
            <w:rStyle w:val="Hyperlink"/>
          </w:rPr>
          <w:t xml:space="preserve">https://doi.org/10.1139/gen-2020-0131</w:t>
        </w:r>
      </w:hyperlink>
      <w:r>
        <w:t xml:space="preserve">.</w:t>
      </w:r>
    </w:p>
    <w:bookmarkEnd w:id="241"/>
    <w:bookmarkStart w:id="243"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42">
        <w:r>
          <w:rPr>
            <w:rStyle w:val="Hyperlink"/>
          </w:rPr>
          <w:t xml:space="preserve">https://doi.org/10.2466/03.11.PMS.112.2.331-348</w:t>
        </w:r>
      </w:hyperlink>
      <w:r>
        <w:t xml:space="preserve">.</w:t>
      </w:r>
    </w:p>
    <w:bookmarkEnd w:id="243"/>
    <w:bookmarkStart w:id="245"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44">
        <w:r>
          <w:rPr>
            <w:rStyle w:val="Hyperlink"/>
          </w:rPr>
          <w:t xml:space="preserve">https://doi.org/10.1371/journal.pone.0295970</w:t>
        </w:r>
      </w:hyperlink>
      <w:r>
        <w:t xml:space="preserve">.</w:t>
      </w:r>
    </w:p>
    <w:bookmarkEnd w:id="245"/>
    <w:bookmarkStart w:id="247"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46">
        <w:r>
          <w:rPr>
            <w:rStyle w:val="Hyperlink"/>
          </w:rPr>
          <w:t xml:space="preserve">https://doi.org/10.1146/annurev-publhealth-040617-014208</w:t>
        </w:r>
      </w:hyperlink>
      <w:r>
        <w:t xml:space="preserve">.</w:t>
      </w:r>
    </w:p>
    <w:bookmarkEnd w:id="247"/>
    <w:bookmarkStart w:id="249"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48">
        <w:r>
          <w:rPr>
            <w:rStyle w:val="Hyperlink"/>
          </w:rPr>
          <w:t xml:space="preserve">https://doi.org/10.1017/cts.2020.42</w:t>
        </w:r>
      </w:hyperlink>
      <w:r>
        <w:t xml:space="preserve">.</w:t>
      </w:r>
    </w:p>
    <w:bookmarkEnd w:id="249"/>
    <w:bookmarkStart w:id="250"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50"/>
    <w:bookmarkStart w:id="252" w:name="Xca20c04262f42bd319e9e1cf7e0699591bb2b86"/>
    <w:p>
      <w:pPr>
        <w:pStyle w:val="Bibliography"/>
      </w:pPr>
      <w:r>
        <w:t xml:space="preserve">National Center for Chronic Disease Prevention and Health Promotion (US) Office on Smoking and Health. 2014.</w:t>
      </w:r>
      <w:r>
        <w:t xml:space="preserve"> </w:t>
      </w:r>
      <w:hyperlink r:id="rId251">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52"/>
    <w:bookmarkStart w:id="254"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53">
        <w:r>
          <w:rPr>
            <w:rStyle w:val="Hyperlink"/>
          </w:rPr>
          <w:t xml:space="preserve">https://doi.org/10.7326/0003-4819-131-7-199910050-00002</w:t>
        </w:r>
      </w:hyperlink>
      <w:r>
        <w:t xml:space="preserve">.</w:t>
      </w:r>
    </w:p>
    <w:bookmarkEnd w:id="254"/>
    <w:bookmarkStart w:id="255"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55"/>
    <w:bookmarkStart w:id="257" w:name="X8bb79cdd23e0a8d99e4f9b0c203aaa22c56a953"/>
    <w:p>
      <w:pPr>
        <w:pStyle w:val="Bibliography"/>
      </w:pPr>
      <w:r>
        <w:t xml:space="preserve">Office of the Surgeon General (US), Center for Mental Health Services (US), and National Institute of Mental Health (US). 2001.</w:t>
      </w:r>
      <w:r>
        <w:t xml:space="preserve"> </w:t>
      </w:r>
      <w:hyperlink r:id="rId256">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257"/>
    <w:bookmarkStart w:id="259"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58">
        <w:r>
          <w:rPr>
            <w:rStyle w:val="Hyperlink"/>
          </w:rPr>
          <w:t xml:space="preserve">https://doi.org/10.1111/add.14023</w:t>
        </w:r>
      </w:hyperlink>
      <w:r>
        <w:t xml:space="preserve">.</w:t>
      </w:r>
    </w:p>
    <w:bookmarkEnd w:id="259"/>
    <w:bookmarkStart w:id="261"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260">
        <w:r>
          <w:rPr>
            <w:rStyle w:val="Hyperlink"/>
          </w:rPr>
          <w:t xml:space="preserve">https://doi.org/10.3389/fnhum.2014.00425</w:t>
        </w:r>
      </w:hyperlink>
      <w:r>
        <w:t xml:space="preserve">.</w:t>
      </w:r>
    </w:p>
    <w:bookmarkEnd w:id="261"/>
    <w:bookmarkStart w:id="263"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262">
        <w:r>
          <w:rPr>
            <w:rStyle w:val="Hyperlink"/>
          </w:rPr>
          <w:t xml:space="preserve">https://doi.org/10.1093/ntr/ntt025</w:t>
        </w:r>
      </w:hyperlink>
      <w:r>
        <w:t xml:space="preserve">.</w:t>
      </w:r>
    </w:p>
    <w:bookmarkEnd w:id="263"/>
    <w:bookmarkStart w:id="265"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64">
        <w:r>
          <w:rPr>
            <w:rStyle w:val="Hyperlink"/>
          </w:rPr>
          <w:t xml:space="preserve">https://doi.org/10.1016/j.drugalcdep.2016.11.027</w:t>
        </w:r>
      </w:hyperlink>
      <w:r>
        <w:t xml:space="preserve">.</w:t>
      </w:r>
    </w:p>
    <w:bookmarkEnd w:id="265"/>
    <w:bookmarkStart w:id="267"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66">
        <w:r>
          <w:rPr>
            <w:rStyle w:val="Hyperlink"/>
          </w:rPr>
          <w:t xml:space="preserve">https://doi.org/10.1111/add.13162</w:t>
        </w:r>
      </w:hyperlink>
      <w:r>
        <w:t xml:space="preserve">.</w:t>
      </w:r>
    </w:p>
    <w:bookmarkEnd w:id="267"/>
    <w:bookmarkStart w:id="269"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68">
        <w:r>
          <w:rPr>
            <w:rStyle w:val="Hyperlink"/>
          </w:rPr>
          <w:t xml:space="preserve">https://doi.org/10.1016/j.drugalcdep.2016.11.025</w:t>
        </w:r>
      </w:hyperlink>
      <w:r>
        <w:t xml:space="preserve">.</w:t>
      </w:r>
    </w:p>
    <w:bookmarkEnd w:id="269"/>
    <w:bookmarkStart w:id="271"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70">
        <w:r>
          <w:rPr>
            <w:rStyle w:val="Hyperlink"/>
          </w:rPr>
          <w:t xml:space="preserve">https://doi.org/10.1111/j.1530-0277.1993.tb05219.x</w:t>
        </w:r>
      </w:hyperlink>
      <w:r>
        <w:t xml:space="preserve">.</w:t>
      </w:r>
    </w:p>
    <w:bookmarkEnd w:id="271"/>
    <w:bookmarkStart w:id="273"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72">
        <w:r>
          <w:rPr>
            <w:rStyle w:val="Hyperlink"/>
          </w:rPr>
          <w:t xml:space="preserve">https://doi.org/10.15288/jsa.1998.59.631</w:t>
        </w:r>
      </w:hyperlink>
      <w:r>
        <w:t xml:space="preserve">.</w:t>
      </w:r>
    </w:p>
    <w:bookmarkEnd w:id="273"/>
    <w:bookmarkStart w:id="275"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74">
        <w:r>
          <w:rPr>
            <w:rStyle w:val="Hyperlink"/>
          </w:rPr>
          <w:t xml:space="preserve">https://doi.org/10.1001/jama.2022.0395</w:t>
        </w:r>
      </w:hyperlink>
      <w:r>
        <w:t xml:space="preserve">.</w:t>
      </w:r>
    </w:p>
    <w:bookmarkEnd w:id="275"/>
    <w:bookmarkStart w:id="277"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76">
        <w:r>
          <w:rPr>
            <w:rStyle w:val="Hyperlink"/>
          </w:rPr>
          <w:t xml:space="preserve">https://doi.org/10.1016/S1470-2045(11)70393-X</w:t>
        </w:r>
      </w:hyperlink>
      <w:r>
        <w:t xml:space="preserve">.</w:t>
      </w:r>
    </w:p>
    <w:bookmarkEnd w:id="277"/>
    <w:bookmarkStart w:id="279"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78">
        <w:r>
          <w:rPr>
            <w:rStyle w:val="Hyperlink"/>
          </w:rPr>
          <w:t xml:space="preserve">https://doi.org/10.1186/1744-859X-12-42</w:t>
        </w:r>
      </w:hyperlink>
      <w:r>
        <w:t xml:space="preserve">.</w:t>
      </w:r>
    </w:p>
    <w:bookmarkEnd w:id="279"/>
    <w:bookmarkStart w:id="280"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80"/>
    <w:bookmarkStart w:id="282"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81">
        <w:r>
          <w:rPr>
            <w:rStyle w:val="Hyperlink"/>
          </w:rPr>
          <w:t xml:space="preserve">https://doi.org/10.1146/annurev-clinpsy-050212-185602</w:t>
        </w:r>
      </w:hyperlink>
      <w:r>
        <w:t xml:space="preserve">.</w:t>
      </w:r>
    </w:p>
    <w:bookmarkEnd w:id="282"/>
    <w:bookmarkStart w:id="284"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83">
        <w:r>
          <w:rPr>
            <w:rStyle w:val="Hyperlink"/>
          </w:rPr>
          <w:t xml:space="preserve">https://doi.org/10.1016/j.pbb.2008.10.016</w:t>
        </w:r>
      </w:hyperlink>
      <w:r>
        <w:t xml:space="preserve">.</w:t>
      </w:r>
    </w:p>
    <w:bookmarkEnd w:id="284"/>
    <w:bookmarkStart w:id="286"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85">
        <w:r>
          <w:rPr>
            <w:rStyle w:val="Hyperlink"/>
          </w:rPr>
          <w:t xml:space="preserve">https://doi.org/10.1111/add.14450</w:t>
        </w:r>
      </w:hyperlink>
      <w:r>
        <w:t xml:space="preserve">.</w:t>
      </w:r>
    </w:p>
    <w:bookmarkEnd w:id="286"/>
    <w:bookmarkStart w:id="288"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87">
        <w:r>
          <w:rPr>
            <w:rStyle w:val="Hyperlink"/>
          </w:rPr>
          <w:t xml:space="preserve">https://doi.org/10.1158/1940-6207.CAPR-19-0259</w:t>
        </w:r>
      </w:hyperlink>
      <w:r>
        <w:t xml:space="preserve">.</w:t>
      </w:r>
    </w:p>
    <w:bookmarkEnd w:id="288"/>
    <w:bookmarkStart w:id="290"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89">
        <w:r>
          <w:rPr>
            <w:rStyle w:val="Hyperlink"/>
          </w:rPr>
          <w:t xml:space="preserve">https://doi.org/10.1007/s11031-005-7955-3</w:t>
        </w:r>
      </w:hyperlink>
      <w:r>
        <w:t xml:space="preserve">.</w:t>
      </w:r>
    </w:p>
    <w:bookmarkEnd w:id="290"/>
    <w:bookmarkStart w:id="292"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91">
        <w:r>
          <w:rPr>
            <w:rStyle w:val="Hyperlink"/>
          </w:rPr>
          <w:t xml:space="preserve">https://doi.org/10.1016/0022-3999(94)00125-O</w:t>
        </w:r>
      </w:hyperlink>
      <w:r>
        <w:t xml:space="preserve">.</w:t>
      </w:r>
    </w:p>
    <w:bookmarkEnd w:id="292"/>
    <w:bookmarkStart w:id="294"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93">
        <w:r>
          <w:rPr>
            <w:rStyle w:val="Hyperlink"/>
          </w:rPr>
          <w:t xml:space="preserve">https://doi.org/10.1037/pas0000978</w:t>
        </w:r>
      </w:hyperlink>
      <w:r>
        <w:t xml:space="preserve">.</w:t>
      </w:r>
    </w:p>
    <w:bookmarkEnd w:id="294"/>
    <w:bookmarkStart w:id="296"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95">
        <w:r>
          <w:rPr>
            <w:rStyle w:val="Hyperlink"/>
          </w:rPr>
          <w:t xml:space="preserve">https://doi.org/10.1093/ntr/ntq032</w:t>
        </w:r>
      </w:hyperlink>
      <w:r>
        <w:t xml:space="preserve">.</w:t>
      </w:r>
    </w:p>
    <w:bookmarkEnd w:id="296"/>
    <w:bookmarkStart w:id="298"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297">
        <w:r>
          <w:rPr>
            <w:rStyle w:val="Hyperlink"/>
          </w:rPr>
          <w:t xml:space="preserve">https://doi.org/10.1192/bjp.167.1.99</w:t>
        </w:r>
      </w:hyperlink>
      <w:r>
        <w:t xml:space="preserve">.</w:t>
      </w:r>
    </w:p>
    <w:bookmarkEnd w:id="298"/>
    <w:bookmarkStart w:id="300"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99">
        <w:r>
          <w:rPr>
            <w:rStyle w:val="Hyperlink"/>
          </w:rPr>
          <w:t xml:space="preserve">https://doi.org/10.1017/jsc.2020.11</w:t>
        </w:r>
      </w:hyperlink>
      <w:r>
        <w:t xml:space="preserve">.</w:t>
      </w:r>
    </w:p>
    <w:bookmarkEnd w:id="300"/>
    <w:bookmarkStart w:id="301"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01"/>
    <w:bookmarkStart w:id="303" w:name="Xb4363def9a086869984bb1996514c38c4a5108e"/>
    <w:p>
      <w:pPr>
        <w:pStyle w:val="Bibliography"/>
      </w:pPr>
      <w:r>
        <w:t xml:space="preserve">Substance Abuse and Mental Health Services Administration (US), and Office of the Surgeon General (US). 2016.</w:t>
      </w:r>
      <w:r>
        <w:t xml:space="preserve"> </w:t>
      </w:r>
      <w:hyperlink r:id="rId302">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03"/>
    <w:bookmarkStart w:id="305"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04">
        <w:r>
          <w:rPr>
            <w:rStyle w:val="Hyperlink"/>
          </w:rPr>
          <w:t xml:space="preserve">https://doi.org/10.1037/1040-3590.19.2.176</w:t>
        </w:r>
      </w:hyperlink>
      <w:r>
        <w:t xml:space="preserve">.</w:t>
      </w:r>
    </w:p>
    <w:bookmarkEnd w:id="305"/>
    <w:bookmarkStart w:id="306"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06"/>
    <w:bookmarkStart w:id="308"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07">
        <w:r>
          <w:rPr>
            <w:rStyle w:val="Hyperlink"/>
          </w:rPr>
          <w:t xml:space="preserve">https://doi.org/10.1111/j.1360-0443.1993.tb02060.x</w:t>
        </w:r>
      </w:hyperlink>
      <w:r>
        <w:t xml:space="preserve">.</w:t>
      </w:r>
    </w:p>
    <w:bookmarkEnd w:id="308"/>
    <w:bookmarkStart w:id="310"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09">
        <w:r>
          <w:rPr>
            <w:rStyle w:val="Hyperlink"/>
          </w:rPr>
          <w:t xml:space="preserve">https://doi.org/10.15252/embr.201642951</w:t>
        </w:r>
      </w:hyperlink>
      <w:r>
        <w:t xml:space="preserve">.</w:t>
      </w:r>
    </w:p>
    <w:bookmarkEnd w:id="310"/>
    <w:bookmarkStart w:id="312"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11">
        <w:r>
          <w:rPr>
            <w:rStyle w:val="Hyperlink"/>
          </w:rPr>
          <w:t xml:space="preserve">https://doi.org/10.1007/s11121-009-0141-1</w:t>
        </w:r>
      </w:hyperlink>
      <w:r>
        <w:t xml:space="preserve">.</w:t>
      </w:r>
    </w:p>
    <w:bookmarkEnd w:id="312"/>
    <w:bookmarkStart w:id="314"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13">
        <w:r>
          <w:rPr>
            <w:rStyle w:val="Hyperlink"/>
          </w:rPr>
          <w:t xml:space="preserve">https://doi.org/10.1017/S0033291718001708</w:t>
        </w:r>
      </w:hyperlink>
      <w:r>
        <w:t xml:space="preserve">.</w:t>
      </w:r>
    </w:p>
    <w:bookmarkEnd w:id="314"/>
    <w:bookmarkStart w:id="316"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15">
        <w:r>
          <w:rPr>
            <w:rStyle w:val="Hyperlink"/>
          </w:rPr>
          <w:t xml:space="preserve">https://doi.org/10.1177/1745691618805436</w:t>
        </w:r>
      </w:hyperlink>
      <w:r>
        <w:t xml:space="preserve">.</w:t>
      </w:r>
    </w:p>
    <w:bookmarkEnd w:id="316"/>
    <w:bookmarkStart w:id="318"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17">
        <w:r>
          <w:rPr>
            <w:rStyle w:val="Hyperlink"/>
          </w:rPr>
          <w:t xml:space="preserve">https://doi.org/10.1016/S0140-6736(13)61611-6</w:t>
        </w:r>
      </w:hyperlink>
      <w:r>
        <w:t xml:space="preserve">.</w:t>
      </w:r>
    </w:p>
    <w:bookmarkEnd w:id="318"/>
    <w:bookmarkStart w:id="320"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19">
        <w:r>
          <w:rPr>
            <w:rStyle w:val="Hyperlink"/>
          </w:rPr>
          <w:t xml:space="preserve">https://doi.org/10.1111/jcpp.12295</w:t>
        </w:r>
      </w:hyperlink>
      <w:r>
        <w:t xml:space="preserve">.</w:t>
      </w:r>
    </w:p>
    <w:bookmarkEnd w:id="320"/>
    <w:bookmarkStart w:id="322"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21">
        <w:r>
          <w:rPr>
            <w:rStyle w:val="Hyperlink"/>
          </w:rPr>
          <w:t xml:space="preserve">https://doi.org/10.31234/osf.io/cgsf7</w:t>
        </w:r>
      </w:hyperlink>
      <w:r>
        <w:t xml:space="preserve">.</w:t>
      </w:r>
    </w:p>
    <w:bookmarkEnd w:id="322"/>
    <w:bookmarkStart w:id="324"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23">
        <w:r>
          <w:rPr>
            <w:rStyle w:val="Hyperlink"/>
          </w:rPr>
          <w:t xml:space="preserve">https://doi.org/10.1093/jpepsy/jst062</w:t>
        </w:r>
      </w:hyperlink>
      <w:r>
        <w:t xml:space="preserve">.</w:t>
      </w:r>
    </w:p>
    <w:bookmarkEnd w:id="324"/>
    <w:bookmarkStart w:id="326"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25">
        <w:r>
          <w:rPr>
            <w:rStyle w:val="Hyperlink"/>
          </w:rPr>
          <w:t xml:space="preserve">https://doi.org/10.1080/00273171.2013.763012</w:t>
        </w:r>
      </w:hyperlink>
      <w:r>
        <w:t xml:space="preserve">.</w:t>
      </w:r>
    </w:p>
    <w:bookmarkEnd w:id="326"/>
    <w:bookmarkEnd w:id="327"/>
    <w:bookmarkEnd w:id="328"/>
    <w:bookmarkEnd w:id="3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67" Target="media/rId67.png" /><Relationship Type="http://schemas.openxmlformats.org/officeDocument/2006/relationships/image" Id="rId77" Target="media/rId77.png" /><Relationship Type="http://schemas.openxmlformats.org/officeDocument/2006/relationships/hyperlink" Id="rId114" Target="https://doi.org/10.1001/jama.2015.19284" TargetMode="External" /><Relationship Type="http://schemas.openxmlformats.org/officeDocument/2006/relationships/hyperlink" Id="rId274" Target="https://doi.org/10.1001/jama.2022.0395" TargetMode="External" /><Relationship Type="http://schemas.openxmlformats.org/officeDocument/2006/relationships/hyperlink" Id="rId213" Target="https://doi.org/10.1001/jamapsychiatry.2021.2500" TargetMode="External" /><Relationship Type="http://schemas.openxmlformats.org/officeDocument/2006/relationships/hyperlink" Id="rId129" Target="https://doi.org/10.1002/14651858.CD006103.pub7" TargetMode="External" /><Relationship Type="http://schemas.openxmlformats.org/officeDocument/2006/relationships/hyperlink" Id="rId131" Target="https://doi.org/10.1002/14651858.CD009329.pub2" TargetMode="External" /><Relationship Type="http://schemas.openxmlformats.org/officeDocument/2006/relationships/hyperlink" Id="rId237" Target="https://doi.org/10.1002/14651858.CD013308" TargetMode="External" /><Relationship Type="http://schemas.openxmlformats.org/officeDocument/2006/relationships/hyperlink" Id="rId229" Target="https://doi.org/10.1002/acp.1602" TargetMode="External" /><Relationship Type="http://schemas.openxmlformats.org/officeDocument/2006/relationships/hyperlink" Id="rId138" Target="https://doi.org/10.1002/cpt.1971" TargetMode="External" /><Relationship Type="http://schemas.openxmlformats.org/officeDocument/2006/relationships/hyperlink" Id="rId224" Target="https://doi.org/10.1007/978-1-4614-6849-3" TargetMode="External" /><Relationship Type="http://schemas.openxmlformats.org/officeDocument/2006/relationships/hyperlink" Id="rId196" Target="https://doi.org/10.1007/978-1-4614-7138-7" TargetMode="External" /><Relationship Type="http://schemas.openxmlformats.org/officeDocument/2006/relationships/hyperlink" Id="rId148" Target="https://doi.org/10.1007/978-3-319-72206-1" TargetMode="External" /><Relationship Type="http://schemas.openxmlformats.org/officeDocument/2006/relationships/hyperlink" Id="rId122" Target="https://doi.org/10.1007/s10488-016-0718-5" TargetMode="External" /><Relationship Type="http://schemas.openxmlformats.org/officeDocument/2006/relationships/hyperlink" Id="rId120" Target="https://doi.org/10.1007/s10488-020-01065-8" TargetMode="External" /><Relationship Type="http://schemas.openxmlformats.org/officeDocument/2006/relationships/hyperlink" Id="rId289" Target="https://doi.org/10.1007/s11031-005-7955-3" TargetMode="External" /><Relationship Type="http://schemas.openxmlformats.org/officeDocument/2006/relationships/hyperlink" Id="rId311" Target="https://doi.org/10.1007/s11121-009-0141-1" TargetMode="External" /><Relationship Type="http://schemas.openxmlformats.org/officeDocument/2006/relationships/hyperlink" Id="rId144" Target="https://doi.org/10.1007/s11336-013-9328-2" TargetMode="External" /><Relationship Type="http://schemas.openxmlformats.org/officeDocument/2006/relationships/hyperlink" Id="rId291" Target="https://doi.org/10.1016/0022-3999(94)00125-O" TargetMode="External" /><Relationship Type="http://schemas.openxmlformats.org/officeDocument/2006/relationships/hyperlink" Id="rId317" Target="https://doi.org/10.1016/S0140-6736(13)61611-6" TargetMode="External" /><Relationship Type="http://schemas.openxmlformats.org/officeDocument/2006/relationships/hyperlink" Id="rId276" Target="https://doi.org/10.1016/S1470-2045(11)70393-X" TargetMode="External" /><Relationship Type="http://schemas.openxmlformats.org/officeDocument/2006/relationships/hyperlink" Id="rId231" Target="https://doi.org/10.1016/S2213-2600(14)70294-2" TargetMode="External" /><Relationship Type="http://schemas.openxmlformats.org/officeDocument/2006/relationships/hyperlink" Id="rId106" Target="https://doi.org/10.1016/S2468-2667(19)30112-4" TargetMode="External" /><Relationship Type="http://schemas.openxmlformats.org/officeDocument/2006/relationships/hyperlink" Id="rId158" Target="https://doi.org/10.1016/j.addbeh.2003.08.014" TargetMode="External" /><Relationship Type="http://schemas.openxmlformats.org/officeDocument/2006/relationships/hyperlink" Id="rId207" Target="https://doi.org/10.1016/j.addbeh.2015.07.019" TargetMode="External" /><Relationship Type="http://schemas.openxmlformats.org/officeDocument/2006/relationships/hyperlink" Id="rId156" Target="https://doi.org/10.1016/j.addbeh.2016.12.011" TargetMode="External" /><Relationship Type="http://schemas.openxmlformats.org/officeDocument/2006/relationships/hyperlink" Id="rId118" Target="https://doi.org/10.1016/j.addicn.2023.100068" TargetMode="External" /><Relationship Type="http://schemas.openxmlformats.org/officeDocument/2006/relationships/hyperlink" Id="rId185" Target="https://doi.org/10.1016/j.amepre.2017.01.038" TargetMode="External" /><Relationship Type="http://schemas.openxmlformats.org/officeDocument/2006/relationships/hyperlink" Id="rId171" Target="https://doi.org/10.1016/j.biopsych.2020.02.015" TargetMode="External" /><Relationship Type="http://schemas.openxmlformats.org/officeDocument/2006/relationships/hyperlink" Id="rId160" Target="https://doi.org/10.1016/j.brat.2019.103506" TargetMode="External" /><Relationship Type="http://schemas.openxmlformats.org/officeDocument/2006/relationships/hyperlink" Id="rId268" Target="https://doi.org/10.1016/j.drugalcdep.2016.11.025" TargetMode="External" /><Relationship Type="http://schemas.openxmlformats.org/officeDocument/2006/relationships/hyperlink" Id="rId264" Target="https://doi.org/10.1016/j.drugalcdep.2016.11.027" TargetMode="External" /><Relationship Type="http://schemas.openxmlformats.org/officeDocument/2006/relationships/hyperlink" Id="rId104" Target="https://doi.org/10.1016/j.jval.2022.04.206" TargetMode="External" /><Relationship Type="http://schemas.openxmlformats.org/officeDocument/2006/relationships/hyperlink" Id="rId140" Target="https://doi.org/10.1016/j.neulet.2016.05.033" TargetMode="External" /><Relationship Type="http://schemas.openxmlformats.org/officeDocument/2006/relationships/hyperlink" Id="rId283" Target="https://doi.org/10.1016/j.pbb.2008.10.016" TargetMode="External" /><Relationship Type="http://schemas.openxmlformats.org/officeDocument/2006/relationships/hyperlink" Id="rId313" Target="https://doi.org/10.1017/S0033291718001708" TargetMode="External" /><Relationship Type="http://schemas.openxmlformats.org/officeDocument/2006/relationships/hyperlink" Id="rId248" Target="https://doi.org/10.1017/cts.2020.42" TargetMode="External" /><Relationship Type="http://schemas.openxmlformats.org/officeDocument/2006/relationships/hyperlink" Id="rId299" Target="https://doi.org/10.1017/jsc.2020.11" TargetMode="External" /><Relationship Type="http://schemas.openxmlformats.org/officeDocument/2006/relationships/hyperlink" Id="rId200" Target="https://doi.org/10.1023/A:1008987426876" TargetMode="External" /><Relationship Type="http://schemas.openxmlformats.org/officeDocument/2006/relationships/hyperlink" Id="rId304" Target="https://doi.org/10.1037/1040-3590.19.2.176" TargetMode="External" /><Relationship Type="http://schemas.openxmlformats.org/officeDocument/2006/relationships/hyperlink" Id="rId215" Target="https://doi.org/10.1037/a0028445" TargetMode="External" /><Relationship Type="http://schemas.openxmlformats.org/officeDocument/2006/relationships/hyperlink" Id="rId293" Target="https://doi.org/10.1037/pas0000978" TargetMode="External" /><Relationship Type="http://schemas.openxmlformats.org/officeDocument/2006/relationships/hyperlink" Id="rId177" Target="https://doi.org/10.1037/pha0000141" TargetMode="External" /><Relationship Type="http://schemas.openxmlformats.org/officeDocument/2006/relationships/hyperlink" Id="rId179" Target="https://doi.org/10.1038/clpt.2014.124" TargetMode="External" /><Relationship Type="http://schemas.openxmlformats.org/officeDocument/2006/relationships/hyperlink" Id="rId173" Target="https://doi.org/10.1038/ng.3404" TargetMode="External" /><Relationship Type="http://schemas.openxmlformats.org/officeDocument/2006/relationships/hyperlink" Id="rId219" Target="https://doi.org/10.1046/j.1525-1497.2001.016009606.x" TargetMode="External" /><Relationship Type="http://schemas.openxmlformats.org/officeDocument/2006/relationships/hyperlink" Id="rId110" Target="https://doi.org/10.1056/NEJMp1301935" TargetMode="External" /><Relationship Type="http://schemas.openxmlformats.org/officeDocument/2006/relationships/hyperlink" Id="rId198" Target="https://doi.org/10.1056/NEJMsa1211128" TargetMode="External" /><Relationship Type="http://schemas.openxmlformats.org/officeDocument/2006/relationships/hyperlink" Id="rId325" Target="https://doi.org/10.1080/00273171.2013.763012" TargetMode="External" /><Relationship Type="http://schemas.openxmlformats.org/officeDocument/2006/relationships/hyperlink" Id="rId182" Target="https://doi.org/10.1080/10826084.2019.1691593" TargetMode="External" /><Relationship Type="http://schemas.openxmlformats.org/officeDocument/2006/relationships/hyperlink" Id="rId202" Target="https://doi.org/10.1080/17460441.2018.1458090" TargetMode="External" /><Relationship Type="http://schemas.openxmlformats.org/officeDocument/2006/relationships/hyperlink" Id="rId233" Target="https://doi.org/10.1080/20008198.2020.1729633" TargetMode="External" /><Relationship Type="http://schemas.openxmlformats.org/officeDocument/2006/relationships/hyperlink" Id="rId323" Target="https://doi.org/10.1093/jpepsy/jst062" TargetMode="External" /><Relationship Type="http://schemas.openxmlformats.org/officeDocument/2006/relationships/hyperlink" Id="rId295" Target="https://doi.org/10.1093/ntr/ntq032" TargetMode="External" /><Relationship Type="http://schemas.openxmlformats.org/officeDocument/2006/relationships/hyperlink" Id="rId262" Target="https://doi.org/10.1093/ntr/ntt025" TargetMode="External" /><Relationship Type="http://schemas.openxmlformats.org/officeDocument/2006/relationships/hyperlink" Id="rId142" Target="https://doi.org/10.1093/ntr/ntv125" TargetMode="External" /><Relationship Type="http://schemas.openxmlformats.org/officeDocument/2006/relationships/hyperlink" Id="rId152" Target="https://doi.org/10.1093/ntr/nty259" TargetMode="External" /><Relationship Type="http://schemas.openxmlformats.org/officeDocument/2006/relationships/hyperlink" Id="rId266" Target="https://doi.org/10.1111/add.13162" TargetMode="External" /><Relationship Type="http://schemas.openxmlformats.org/officeDocument/2006/relationships/hyperlink" Id="rId217" Target="https://doi.org/10.1111/add.13818" TargetMode="External" /><Relationship Type="http://schemas.openxmlformats.org/officeDocument/2006/relationships/hyperlink" Id="rId258" Target="https://doi.org/10.1111/add.14023" TargetMode="External" /><Relationship Type="http://schemas.openxmlformats.org/officeDocument/2006/relationships/hyperlink" Id="rId285" Target="https://doi.org/10.1111/add.14450" TargetMode="External" /><Relationship Type="http://schemas.openxmlformats.org/officeDocument/2006/relationships/hyperlink" Id="rId307" Target="https://doi.org/10.1111/j.1360-0443.1993.tb02060.x" TargetMode="External" /><Relationship Type="http://schemas.openxmlformats.org/officeDocument/2006/relationships/hyperlink" Id="rId211" Target="https://doi.org/10.1111/j.1465-3362.2012.00465.x" TargetMode="External" /><Relationship Type="http://schemas.openxmlformats.org/officeDocument/2006/relationships/hyperlink" Id="rId205" Target="https://doi.org/10.1111/j.1475-6773.2011.01314.x" TargetMode="External" /><Relationship Type="http://schemas.openxmlformats.org/officeDocument/2006/relationships/hyperlink" Id="rId270" Target="https://doi.org/10.1111/j.1530-0277.1993.tb05219.x" TargetMode="External" /><Relationship Type="http://schemas.openxmlformats.org/officeDocument/2006/relationships/hyperlink" Id="rId319" Target="https://doi.org/10.1111/jcpp.12295" TargetMode="External" /><Relationship Type="http://schemas.openxmlformats.org/officeDocument/2006/relationships/hyperlink" Id="rId136" Target="https://doi.org/10.1136/bmjopen-2016-011045" TargetMode="External" /><Relationship Type="http://schemas.openxmlformats.org/officeDocument/2006/relationships/hyperlink" Id="rId240" Target="https://doi.org/10.1139/gen-2020-0131" TargetMode="External" /><Relationship Type="http://schemas.openxmlformats.org/officeDocument/2006/relationships/hyperlink" Id="rId165" Target="https://doi.org/10.1146/annurev-clinpsy-032816-045037" TargetMode="External" /><Relationship Type="http://schemas.openxmlformats.org/officeDocument/2006/relationships/hyperlink" Id="rId281" Target="https://doi.org/10.1146/annurev-clinpsy-050212-185602" TargetMode="External" /><Relationship Type="http://schemas.openxmlformats.org/officeDocument/2006/relationships/hyperlink" Id="rId146" Target="https://doi.org/10.1146/annurev-clinpsy-050817-084746" TargetMode="External" /><Relationship Type="http://schemas.openxmlformats.org/officeDocument/2006/relationships/hyperlink" Id="rId125" Target="https://doi.org/10.1146/annurev-clinpsy-050817-084847" TargetMode="External" /><Relationship Type="http://schemas.openxmlformats.org/officeDocument/2006/relationships/hyperlink" Id="rId112" Target="https://doi.org/10.1146/annurev-clinpsy-081219-090343" TargetMode="External" /><Relationship Type="http://schemas.openxmlformats.org/officeDocument/2006/relationships/hyperlink" Id="rId246" Target="https://doi.org/10.1146/annurev-publhealth-040617-014208" TargetMode="External" /><Relationship Type="http://schemas.openxmlformats.org/officeDocument/2006/relationships/hyperlink" Id="rId127" Target="https://doi.org/10.1146/annurev.clinpsy.3.022806.091455" TargetMode="External" /><Relationship Type="http://schemas.openxmlformats.org/officeDocument/2006/relationships/hyperlink" Id="rId287" Target="https://doi.org/10.1158/1940-6207.CAPR-19-0259" TargetMode="External" /><Relationship Type="http://schemas.openxmlformats.org/officeDocument/2006/relationships/hyperlink" Id="rId189" Target="https://doi.org/10.1176/appi.ajp.2014.14020138" TargetMode="External" /><Relationship Type="http://schemas.openxmlformats.org/officeDocument/2006/relationships/hyperlink" Id="rId116" Target="https://doi.org/10.1176/appi.ajp.21100972" TargetMode="External" /><Relationship Type="http://schemas.openxmlformats.org/officeDocument/2006/relationships/hyperlink" Id="rId108" Target="https://doi.org/10.1176/appi.books.9780890425596" TargetMode="External" /><Relationship Type="http://schemas.openxmlformats.org/officeDocument/2006/relationships/hyperlink" Id="rId315" Target="https://doi.org/10.1177/1745691618805436" TargetMode="External" /><Relationship Type="http://schemas.openxmlformats.org/officeDocument/2006/relationships/hyperlink" Id="rId278" Target="https://doi.org/10.1186/1744-859X-12-42" TargetMode="External" /><Relationship Type="http://schemas.openxmlformats.org/officeDocument/2006/relationships/hyperlink" Id="rId221" Target="https://doi.org/10.1186/1758-2946-6-10" TargetMode="External" /><Relationship Type="http://schemas.openxmlformats.org/officeDocument/2006/relationships/hyperlink" Id="rId167" Target="https://doi.org/10.1186/s12889-023-15859-6" TargetMode="External" /><Relationship Type="http://schemas.openxmlformats.org/officeDocument/2006/relationships/hyperlink" Id="rId297" Target="https://doi.org/10.1192/bjp.167.1.99" TargetMode="External" /><Relationship Type="http://schemas.openxmlformats.org/officeDocument/2006/relationships/hyperlink" Id="rId154" Target="https://doi.org/10.1348/0144665031752934" TargetMode="External" /><Relationship Type="http://schemas.openxmlformats.org/officeDocument/2006/relationships/hyperlink" Id="rId187" Target="https://doi.org/10.1371/journal.pcbi.1005589" TargetMode="External" /><Relationship Type="http://schemas.openxmlformats.org/officeDocument/2006/relationships/hyperlink" Id="rId162" Target="https://doi.org/10.1371/journal.pone.0083875" TargetMode="External" /><Relationship Type="http://schemas.openxmlformats.org/officeDocument/2006/relationships/hyperlink" Id="rId191" Target="https://doi.org/10.1371/journal.pone.0286883" TargetMode="External" /><Relationship Type="http://schemas.openxmlformats.org/officeDocument/2006/relationships/hyperlink" Id="rId244" Target="https://doi.org/10.1371/journal.pone.0295970" TargetMode="External" /><Relationship Type="http://schemas.openxmlformats.org/officeDocument/2006/relationships/hyperlink" Id="rId309" Target="https://doi.org/10.15252/embr.201642951" TargetMode="External" /><Relationship Type="http://schemas.openxmlformats.org/officeDocument/2006/relationships/hyperlink" Id="rId272" Target="https://doi.org/10.15288/jsa.1998.59.631" TargetMode="External" /><Relationship Type="http://schemas.openxmlformats.org/officeDocument/2006/relationships/hyperlink" Id="rId209" Target="https://doi.org/10.15288/jsad.2020.81.426" TargetMode="External" /><Relationship Type="http://schemas.openxmlformats.org/officeDocument/2006/relationships/hyperlink" Id="rId194" Target="https://doi.org/10.15585/mmwr.mm6444a2" TargetMode="External" /><Relationship Type="http://schemas.openxmlformats.org/officeDocument/2006/relationships/hyperlink" Id="rId150" Target="https://doi.org/10.15585/mmwr.mm6946a4" TargetMode="External" /><Relationship Type="http://schemas.openxmlformats.org/officeDocument/2006/relationships/hyperlink" Id="rId235" Target="https://doi.org/10.2165/00023210-200418040-00005" TargetMode="External" /><Relationship Type="http://schemas.openxmlformats.org/officeDocument/2006/relationships/hyperlink" Id="rId242" Target="https://doi.org/10.2466/03.11.PMS.112.2.331-348" TargetMode="External" /><Relationship Type="http://schemas.openxmlformats.org/officeDocument/2006/relationships/hyperlink" Id="rId321" Target="https://doi.org/10.31234/osf.io/cgsf7" TargetMode="External" /><Relationship Type="http://schemas.openxmlformats.org/officeDocument/2006/relationships/hyperlink" Id="rId260" Target="https://doi.org/10.3389/fnhum.2014.00425" TargetMode="External" /><Relationship Type="http://schemas.openxmlformats.org/officeDocument/2006/relationships/hyperlink" Id="rId227" Target="https://doi.org/10.3390/ijerph18052584" TargetMode="External" /><Relationship Type="http://schemas.openxmlformats.org/officeDocument/2006/relationships/hyperlink" Id="rId169" Target="https://doi.org/10.3390/info14080426" TargetMode="External" /><Relationship Type="http://schemas.openxmlformats.org/officeDocument/2006/relationships/hyperlink" Id="rId133" Target="https://doi.org/10.5888/pcd14.160600" TargetMode="External" /><Relationship Type="http://schemas.openxmlformats.org/officeDocument/2006/relationships/hyperlink" Id="rId253"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6" Target="https://www.ncbi.nlm.nih.gov/pubmed/20669516" TargetMode="External" /><Relationship Type="http://schemas.openxmlformats.org/officeDocument/2006/relationships/hyperlink" Id="rId251" Target="https://www.ncbi.nlm.nih.gov/pubmed/24455788" TargetMode="External" /><Relationship Type="http://schemas.openxmlformats.org/officeDocument/2006/relationships/hyperlink" Id="rId302"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015.19284" TargetMode="External" /><Relationship Type="http://schemas.openxmlformats.org/officeDocument/2006/relationships/hyperlink" Id="rId274" Target="https://doi.org/10.1001/jama.2022.0395" TargetMode="External" /><Relationship Type="http://schemas.openxmlformats.org/officeDocument/2006/relationships/hyperlink" Id="rId213" Target="https://doi.org/10.1001/jamapsychiatry.2021.2500" TargetMode="External" /><Relationship Type="http://schemas.openxmlformats.org/officeDocument/2006/relationships/hyperlink" Id="rId129" Target="https://doi.org/10.1002/14651858.CD006103.pub7" TargetMode="External" /><Relationship Type="http://schemas.openxmlformats.org/officeDocument/2006/relationships/hyperlink" Id="rId131" Target="https://doi.org/10.1002/14651858.CD009329.pub2" TargetMode="External" /><Relationship Type="http://schemas.openxmlformats.org/officeDocument/2006/relationships/hyperlink" Id="rId237" Target="https://doi.org/10.1002/14651858.CD013308" TargetMode="External" /><Relationship Type="http://schemas.openxmlformats.org/officeDocument/2006/relationships/hyperlink" Id="rId229" Target="https://doi.org/10.1002/acp.1602" TargetMode="External" /><Relationship Type="http://schemas.openxmlformats.org/officeDocument/2006/relationships/hyperlink" Id="rId138" Target="https://doi.org/10.1002/cpt.1971" TargetMode="External" /><Relationship Type="http://schemas.openxmlformats.org/officeDocument/2006/relationships/hyperlink" Id="rId224" Target="https://doi.org/10.1007/978-1-4614-6849-3" TargetMode="External" /><Relationship Type="http://schemas.openxmlformats.org/officeDocument/2006/relationships/hyperlink" Id="rId196" Target="https://doi.org/10.1007/978-1-4614-7138-7" TargetMode="External" /><Relationship Type="http://schemas.openxmlformats.org/officeDocument/2006/relationships/hyperlink" Id="rId148" Target="https://doi.org/10.1007/978-3-319-72206-1" TargetMode="External" /><Relationship Type="http://schemas.openxmlformats.org/officeDocument/2006/relationships/hyperlink" Id="rId122" Target="https://doi.org/10.1007/s10488-016-0718-5" TargetMode="External" /><Relationship Type="http://schemas.openxmlformats.org/officeDocument/2006/relationships/hyperlink" Id="rId120" Target="https://doi.org/10.1007/s10488-020-01065-8" TargetMode="External" /><Relationship Type="http://schemas.openxmlformats.org/officeDocument/2006/relationships/hyperlink" Id="rId289" Target="https://doi.org/10.1007/s11031-005-7955-3" TargetMode="External" /><Relationship Type="http://schemas.openxmlformats.org/officeDocument/2006/relationships/hyperlink" Id="rId311" Target="https://doi.org/10.1007/s11121-009-0141-1" TargetMode="External" /><Relationship Type="http://schemas.openxmlformats.org/officeDocument/2006/relationships/hyperlink" Id="rId144" Target="https://doi.org/10.1007/s11336-013-9328-2" TargetMode="External" /><Relationship Type="http://schemas.openxmlformats.org/officeDocument/2006/relationships/hyperlink" Id="rId291" Target="https://doi.org/10.1016/0022-3999(94)00125-O" TargetMode="External" /><Relationship Type="http://schemas.openxmlformats.org/officeDocument/2006/relationships/hyperlink" Id="rId317" Target="https://doi.org/10.1016/S0140-6736(13)61611-6" TargetMode="External" /><Relationship Type="http://schemas.openxmlformats.org/officeDocument/2006/relationships/hyperlink" Id="rId276" Target="https://doi.org/10.1016/S1470-2045(11)70393-X" TargetMode="External" /><Relationship Type="http://schemas.openxmlformats.org/officeDocument/2006/relationships/hyperlink" Id="rId231" Target="https://doi.org/10.1016/S2213-2600(14)70294-2" TargetMode="External" /><Relationship Type="http://schemas.openxmlformats.org/officeDocument/2006/relationships/hyperlink" Id="rId106" Target="https://doi.org/10.1016/S2468-2667(19)30112-4" TargetMode="External" /><Relationship Type="http://schemas.openxmlformats.org/officeDocument/2006/relationships/hyperlink" Id="rId158" Target="https://doi.org/10.1016/j.addbeh.2003.08.014" TargetMode="External" /><Relationship Type="http://schemas.openxmlformats.org/officeDocument/2006/relationships/hyperlink" Id="rId207" Target="https://doi.org/10.1016/j.addbeh.2015.07.019" TargetMode="External" /><Relationship Type="http://schemas.openxmlformats.org/officeDocument/2006/relationships/hyperlink" Id="rId156" Target="https://doi.org/10.1016/j.addbeh.2016.12.011" TargetMode="External" /><Relationship Type="http://schemas.openxmlformats.org/officeDocument/2006/relationships/hyperlink" Id="rId118" Target="https://doi.org/10.1016/j.addicn.2023.100068" TargetMode="External" /><Relationship Type="http://schemas.openxmlformats.org/officeDocument/2006/relationships/hyperlink" Id="rId185" Target="https://doi.org/10.1016/j.amepre.2017.01.038" TargetMode="External" /><Relationship Type="http://schemas.openxmlformats.org/officeDocument/2006/relationships/hyperlink" Id="rId171" Target="https://doi.org/10.1016/j.biopsych.2020.02.015" TargetMode="External" /><Relationship Type="http://schemas.openxmlformats.org/officeDocument/2006/relationships/hyperlink" Id="rId160" Target="https://doi.org/10.1016/j.brat.2019.103506" TargetMode="External" /><Relationship Type="http://schemas.openxmlformats.org/officeDocument/2006/relationships/hyperlink" Id="rId268" Target="https://doi.org/10.1016/j.drugalcdep.2016.11.025" TargetMode="External" /><Relationship Type="http://schemas.openxmlformats.org/officeDocument/2006/relationships/hyperlink" Id="rId264" Target="https://doi.org/10.1016/j.drugalcdep.2016.11.027" TargetMode="External" /><Relationship Type="http://schemas.openxmlformats.org/officeDocument/2006/relationships/hyperlink" Id="rId104" Target="https://doi.org/10.1016/j.jval.2022.04.206" TargetMode="External" /><Relationship Type="http://schemas.openxmlformats.org/officeDocument/2006/relationships/hyperlink" Id="rId140" Target="https://doi.org/10.1016/j.neulet.2016.05.033" TargetMode="External" /><Relationship Type="http://schemas.openxmlformats.org/officeDocument/2006/relationships/hyperlink" Id="rId283" Target="https://doi.org/10.1016/j.pbb.2008.10.016" TargetMode="External" /><Relationship Type="http://schemas.openxmlformats.org/officeDocument/2006/relationships/hyperlink" Id="rId313" Target="https://doi.org/10.1017/S0033291718001708" TargetMode="External" /><Relationship Type="http://schemas.openxmlformats.org/officeDocument/2006/relationships/hyperlink" Id="rId248" Target="https://doi.org/10.1017/cts.2020.42" TargetMode="External" /><Relationship Type="http://schemas.openxmlformats.org/officeDocument/2006/relationships/hyperlink" Id="rId299" Target="https://doi.org/10.1017/jsc.2020.11" TargetMode="External" /><Relationship Type="http://schemas.openxmlformats.org/officeDocument/2006/relationships/hyperlink" Id="rId200" Target="https://doi.org/10.1023/A:1008987426876" TargetMode="External" /><Relationship Type="http://schemas.openxmlformats.org/officeDocument/2006/relationships/hyperlink" Id="rId304" Target="https://doi.org/10.1037/1040-3590.19.2.176" TargetMode="External" /><Relationship Type="http://schemas.openxmlformats.org/officeDocument/2006/relationships/hyperlink" Id="rId215" Target="https://doi.org/10.1037/a0028445" TargetMode="External" /><Relationship Type="http://schemas.openxmlformats.org/officeDocument/2006/relationships/hyperlink" Id="rId293" Target="https://doi.org/10.1037/pas0000978" TargetMode="External" /><Relationship Type="http://schemas.openxmlformats.org/officeDocument/2006/relationships/hyperlink" Id="rId177" Target="https://doi.org/10.1037/pha0000141" TargetMode="External" /><Relationship Type="http://schemas.openxmlformats.org/officeDocument/2006/relationships/hyperlink" Id="rId179" Target="https://doi.org/10.1038/clpt.2014.124" TargetMode="External" /><Relationship Type="http://schemas.openxmlformats.org/officeDocument/2006/relationships/hyperlink" Id="rId173" Target="https://doi.org/10.1038/ng.3404" TargetMode="External" /><Relationship Type="http://schemas.openxmlformats.org/officeDocument/2006/relationships/hyperlink" Id="rId219" Target="https://doi.org/10.1046/j.1525-1497.2001.016009606.x" TargetMode="External" /><Relationship Type="http://schemas.openxmlformats.org/officeDocument/2006/relationships/hyperlink" Id="rId110" Target="https://doi.org/10.1056/NEJMp1301935" TargetMode="External" /><Relationship Type="http://schemas.openxmlformats.org/officeDocument/2006/relationships/hyperlink" Id="rId198" Target="https://doi.org/10.1056/NEJMsa1211128" TargetMode="External" /><Relationship Type="http://schemas.openxmlformats.org/officeDocument/2006/relationships/hyperlink" Id="rId325" Target="https://doi.org/10.1080/00273171.2013.763012" TargetMode="External" /><Relationship Type="http://schemas.openxmlformats.org/officeDocument/2006/relationships/hyperlink" Id="rId182" Target="https://doi.org/10.1080/10826084.2019.1691593" TargetMode="External" /><Relationship Type="http://schemas.openxmlformats.org/officeDocument/2006/relationships/hyperlink" Id="rId202" Target="https://doi.org/10.1080/17460441.2018.1458090" TargetMode="External" /><Relationship Type="http://schemas.openxmlformats.org/officeDocument/2006/relationships/hyperlink" Id="rId233" Target="https://doi.org/10.1080/20008198.2020.1729633" TargetMode="External" /><Relationship Type="http://schemas.openxmlformats.org/officeDocument/2006/relationships/hyperlink" Id="rId323" Target="https://doi.org/10.1093/jpepsy/jst062" TargetMode="External" /><Relationship Type="http://schemas.openxmlformats.org/officeDocument/2006/relationships/hyperlink" Id="rId295" Target="https://doi.org/10.1093/ntr/ntq032" TargetMode="External" /><Relationship Type="http://schemas.openxmlformats.org/officeDocument/2006/relationships/hyperlink" Id="rId262" Target="https://doi.org/10.1093/ntr/ntt025" TargetMode="External" /><Relationship Type="http://schemas.openxmlformats.org/officeDocument/2006/relationships/hyperlink" Id="rId142" Target="https://doi.org/10.1093/ntr/ntv125" TargetMode="External" /><Relationship Type="http://schemas.openxmlformats.org/officeDocument/2006/relationships/hyperlink" Id="rId152" Target="https://doi.org/10.1093/ntr/nty259" TargetMode="External" /><Relationship Type="http://schemas.openxmlformats.org/officeDocument/2006/relationships/hyperlink" Id="rId266" Target="https://doi.org/10.1111/add.13162" TargetMode="External" /><Relationship Type="http://schemas.openxmlformats.org/officeDocument/2006/relationships/hyperlink" Id="rId217" Target="https://doi.org/10.1111/add.13818" TargetMode="External" /><Relationship Type="http://schemas.openxmlformats.org/officeDocument/2006/relationships/hyperlink" Id="rId258" Target="https://doi.org/10.1111/add.14023" TargetMode="External" /><Relationship Type="http://schemas.openxmlformats.org/officeDocument/2006/relationships/hyperlink" Id="rId285" Target="https://doi.org/10.1111/add.14450" TargetMode="External" /><Relationship Type="http://schemas.openxmlformats.org/officeDocument/2006/relationships/hyperlink" Id="rId307" Target="https://doi.org/10.1111/j.1360-0443.1993.tb02060.x" TargetMode="External" /><Relationship Type="http://schemas.openxmlformats.org/officeDocument/2006/relationships/hyperlink" Id="rId211" Target="https://doi.org/10.1111/j.1465-3362.2012.00465.x" TargetMode="External" /><Relationship Type="http://schemas.openxmlformats.org/officeDocument/2006/relationships/hyperlink" Id="rId205" Target="https://doi.org/10.1111/j.1475-6773.2011.01314.x" TargetMode="External" /><Relationship Type="http://schemas.openxmlformats.org/officeDocument/2006/relationships/hyperlink" Id="rId270" Target="https://doi.org/10.1111/j.1530-0277.1993.tb05219.x" TargetMode="External" /><Relationship Type="http://schemas.openxmlformats.org/officeDocument/2006/relationships/hyperlink" Id="rId319" Target="https://doi.org/10.1111/jcpp.12295" TargetMode="External" /><Relationship Type="http://schemas.openxmlformats.org/officeDocument/2006/relationships/hyperlink" Id="rId136" Target="https://doi.org/10.1136/bmjopen-2016-011045" TargetMode="External" /><Relationship Type="http://schemas.openxmlformats.org/officeDocument/2006/relationships/hyperlink" Id="rId240" Target="https://doi.org/10.1139/gen-2020-0131" TargetMode="External" /><Relationship Type="http://schemas.openxmlformats.org/officeDocument/2006/relationships/hyperlink" Id="rId165" Target="https://doi.org/10.1146/annurev-clinpsy-032816-045037" TargetMode="External" /><Relationship Type="http://schemas.openxmlformats.org/officeDocument/2006/relationships/hyperlink" Id="rId281" Target="https://doi.org/10.1146/annurev-clinpsy-050212-185602" TargetMode="External" /><Relationship Type="http://schemas.openxmlformats.org/officeDocument/2006/relationships/hyperlink" Id="rId146" Target="https://doi.org/10.1146/annurev-clinpsy-050817-084746" TargetMode="External" /><Relationship Type="http://schemas.openxmlformats.org/officeDocument/2006/relationships/hyperlink" Id="rId125" Target="https://doi.org/10.1146/annurev-clinpsy-050817-084847" TargetMode="External" /><Relationship Type="http://schemas.openxmlformats.org/officeDocument/2006/relationships/hyperlink" Id="rId112" Target="https://doi.org/10.1146/annurev-clinpsy-081219-090343" TargetMode="External" /><Relationship Type="http://schemas.openxmlformats.org/officeDocument/2006/relationships/hyperlink" Id="rId246" Target="https://doi.org/10.1146/annurev-publhealth-040617-014208" TargetMode="External" /><Relationship Type="http://schemas.openxmlformats.org/officeDocument/2006/relationships/hyperlink" Id="rId127" Target="https://doi.org/10.1146/annurev.clinpsy.3.022806.091455" TargetMode="External" /><Relationship Type="http://schemas.openxmlformats.org/officeDocument/2006/relationships/hyperlink" Id="rId287" Target="https://doi.org/10.1158/1940-6207.CAPR-19-0259" TargetMode="External" /><Relationship Type="http://schemas.openxmlformats.org/officeDocument/2006/relationships/hyperlink" Id="rId189" Target="https://doi.org/10.1176/appi.ajp.2014.14020138" TargetMode="External" /><Relationship Type="http://schemas.openxmlformats.org/officeDocument/2006/relationships/hyperlink" Id="rId116" Target="https://doi.org/10.1176/appi.ajp.21100972" TargetMode="External" /><Relationship Type="http://schemas.openxmlformats.org/officeDocument/2006/relationships/hyperlink" Id="rId108" Target="https://doi.org/10.1176/appi.books.9780890425596" TargetMode="External" /><Relationship Type="http://schemas.openxmlformats.org/officeDocument/2006/relationships/hyperlink" Id="rId315" Target="https://doi.org/10.1177/1745691618805436" TargetMode="External" /><Relationship Type="http://schemas.openxmlformats.org/officeDocument/2006/relationships/hyperlink" Id="rId278" Target="https://doi.org/10.1186/1744-859X-12-42" TargetMode="External" /><Relationship Type="http://schemas.openxmlformats.org/officeDocument/2006/relationships/hyperlink" Id="rId221" Target="https://doi.org/10.1186/1758-2946-6-10" TargetMode="External" /><Relationship Type="http://schemas.openxmlformats.org/officeDocument/2006/relationships/hyperlink" Id="rId167" Target="https://doi.org/10.1186/s12889-023-15859-6" TargetMode="External" /><Relationship Type="http://schemas.openxmlformats.org/officeDocument/2006/relationships/hyperlink" Id="rId297" Target="https://doi.org/10.1192/bjp.167.1.99" TargetMode="External" /><Relationship Type="http://schemas.openxmlformats.org/officeDocument/2006/relationships/hyperlink" Id="rId154" Target="https://doi.org/10.1348/0144665031752934" TargetMode="External" /><Relationship Type="http://schemas.openxmlformats.org/officeDocument/2006/relationships/hyperlink" Id="rId187" Target="https://doi.org/10.1371/journal.pcbi.1005589" TargetMode="External" /><Relationship Type="http://schemas.openxmlformats.org/officeDocument/2006/relationships/hyperlink" Id="rId162" Target="https://doi.org/10.1371/journal.pone.0083875" TargetMode="External" /><Relationship Type="http://schemas.openxmlformats.org/officeDocument/2006/relationships/hyperlink" Id="rId191" Target="https://doi.org/10.1371/journal.pone.0286883" TargetMode="External" /><Relationship Type="http://schemas.openxmlformats.org/officeDocument/2006/relationships/hyperlink" Id="rId244" Target="https://doi.org/10.1371/journal.pone.0295970" TargetMode="External" /><Relationship Type="http://schemas.openxmlformats.org/officeDocument/2006/relationships/hyperlink" Id="rId309" Target="https://doi.org/10.15252/embr.201642951" TargetMode="External" /><Relationship Type="http://schemas.openxmlformats.org/officeDocument/2006/relationships/hyperlink" Id="rId272" Target="https://doi.org/10.15288/jsa.1998.59.631" TargetMode="External" /><Relationship Type="http://schemas.openxmlformats.org/officeDocument/2006/relationships/hyperlink" Id="rId209" Target="https://doi.org/10.15288/jsad.2020.81.426" TargetMode="External" /><Relationship Type="http://schemas.openxmlformats.org/officeDocument/2006/relationships/hyperlink" Id="rId194" Target="https://doi.org/10.15585/mmwr.mm6444a2" TargetMode="External" /><Relationship Type="http://schemas.openxmlformats.org/officeDocument/2006/relationships/hyperlink" Id="rId150" Target="https://doi.org/10.15585/mmwr.mm6946a4" TargetMode="External" /><Relationship Type="http://schemas.openxmlformats.org/officeDocument/2006/relationships/hyperlink" Id="rId235" Target="https://doi.org/10.2165/00023210-200418040-00005" TargetMode="External" /><Relationship Type="http://schemas.openxmlformats.org/officeDocument/2006/relationships/hyperlink" Id="rId242" Target="https://doi.org/10.2466/03.11.PMS.112.2.331-348" TargetMode="External" /><Relationship Type="http://schemas.openxmlformats.org/officeDocument/2006/relationships/hyperlink" Id="rId321" Target="https://doi.org/10.31234/osf.io/cgsf7" TargetMode="External" /><Relationship Type="http://schemas.openxmlformats.org/officeDocument/2006/relationships/hyperlink" Id="rId260" Target="https://doi.org/10.3389/fnhum.2014.00425" TargetMode="External" /><Relationship Type="http://schemas.openxmlformats.org/officeDocument/2006/relationships/hyperlink" Id="rId227" Target="https://doi.org/10.3390/ijerph18052584" TargetMode="External" /><Relationship Type="http://schemas.openxmlformats.org/officeDocument/2006/relationships/hyperlink" Id="rId169" Target="https://doi.org/10.3390/info14080426" TargetMode="External" /><Relationship Type="http://schemas.openxmlformats.org/officeDocument/2006/relationships/hyperlink" Id="rId133" Target="https://doi.org/10.5888/pcd14.160600" TargetMode="External" /><Relationship Type="http://schemas.openxmlformats.org/officeDocument/2006/relationships/hyperlink" Id="rId253" Target="https://doi.org/10.7326/0003-4819-131-7-199910050-00002" TargetMode="External" /><Relationship Type="http://schemas.openxmlformats.org/officeDocument/2006/relationships/hyperlink" Id="rId91"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75" Target="https://jjcurtin.github.io/study_match/notebooks\mak_tables-preview.html#cell-tbl-int-features"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81" Target="https://jjcurtin.github.io/study_match/notebooks\shap_4wk-preview.html#cell-fig-shap-global" TargetMode="External" /><Relationship Type="http://schemas.openxmlformats.org/officeDocument/2006/relationships/hyperlink" Id="rId28" Target="https://osf.io/qad4n/" TargetMode="External" /><Relationship Type="http://schemas.openxmlformats.org/officeDocument/2006/relationships/hyperlink" Id="rId256" Target="https://www.ncbi.nlm.nih.gov/pubmed/20669516" TargetMode="External" /><Relationship Type="http://schemas.openxmlformats.org/officeDocument/2006/relationships/hyperlink" Id="rId251" Target="https://www.ncbi.nlm.nih.gov/pubmed/24455788" TargetMode="External" /><Relationship Type="http://schemas.openxmlformats.org/officeDocument/2006/relationships/hyperlink" Id="rId302"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2024-06-05T00:54:01Z</dcterms:created>
  <dcterms:modified xsi:type="dcterms:W3CDTF">2024-06-05T00:54:01Z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XX,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