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75.png" ContentType="image/png"/>
  <Override PartName="/word/media/rId80.png" ContentType="image/png"/>
  <Override PartName="/word/media/rId85.png" ContentType="image/png"/>
  <Override PartName="/word/media/rId47.png" ContentType="image/png"/>
  <Override PartName="/word/media/rId68.png" ContentType="image/png"/>
  <Override PartName="/word/media/rId63.png" ContentType="image/png"/>
  <Override PartName="/word/media/rId53.png" ContentType="image/png"/>
  <Override PartName="/word/media/rId58.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Text</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2024-10-17</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46"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r>
        <w:rPr>
          <w:i/>
          <w:iCs/>
        </w:rPr>
        <w:t xml:space="preserve">Figure 1</w:t>
      </w:r>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40" w:name="measures"/>
    <w:p>
      <w:pPr>
        <w:pStyle w:val="Heading2"/>
      </w:pPr>
      <w:r>
        <w:t xml:space="preserve">Measures</w:t>
      </w:r>
    </w:p>
    <w:bookmarkStart w:id="37"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hyperlink w:anchor="tbl-measur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measures"/>
          <w:p>
            <w:pPr>
              <w:jc w:val="center"/>
            </w:pPr>
            <w:pPr>
              <w:jc w:val="start"/>
              <w:spacing w:before="200"/>
              <w:pStyle w:val="ImageCaption"/>
            </w:pPr>
            <w:r>
              <w:t xml:space="preserve">Table 1: Participant self-reported measures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Log Type</w:t>
                  </w:r>
                </w:p>
              </w:tc>
              <w:tc>
                <w:tcPr/>
                <w:p>
                  <w:pPr>
                    <w:pStyle w:val="Compact"/>
                    <w:jc w:val="left"/>
                    <w:jc w:val="center"/>
                  </w:pPr>
                  <w:r>
                    <w:t xml:space="preserve">Measure</w:t>
                  </w:r>
                </w:p>
              </w:tc>
            </w:tr>
            <w:tr>
              <w:tc>
                <w:tcPr/>
                <w:p>
                  <w:pPr>
                    <w:pStyle w:val="Compact"/>
                    <w:jc w:val="left"/>
                    <w:jc w:val="center"/>
                  </w:pPr>
                  <w:r>
                    <w:t xml:space="preserve">Demographics</w:t>
                  </w:r>
                </w:p>
              </w:tc>
              <w:tc>
                <w:tcPr/>
                <w:p>
                  <w:pPr>
                    <w:pStyle w:val="Compact"/>
                    <w:jc w:val="left"/>
                    <w:jc w:val="center"/>
                  </w:pPr>
                  <w:r>
                    <w:t xml:space="preserve">Age</w:t>
                  </w:r>
                </w:p>
              </w:tc>
            </w:tr>
            <w:tr>
              <w:tc>
                <w:tcPr/>
                <w:p>
                  <w:pPr>
                    <w:pStyle w:val="Compact"/>
                  </w:pPr>
                </w:p>
              </w:tc>
              <w:tc>
                <w:tcPr/>
                <w:p>
                  <w:pPr>
                    <w:pStyle w:val="Compact"/>
                    <w:jc w:val="left"/>
                    <w:jc w:val="center"/>
                  </w:pPr>
                  <w:r>
                    <w:t xml:space="preserve">Sex</w:t>
                  </w:r>
                </w:p>
              </w:tc>
            </w:tr>
            <w:tr>
              <w:tc>
                <w:tcPr/>
                <w:p>
                  <w:pPr>
                    <w:pStyle w:val="Compact"/>
                  </w:pPr>
                </w:p>
              </w:tc>
              <w:tc>
                <w:tcPr/>
                <w:p>
                  <w:pPr>
                    <w:pStyle w:val="Compact"/>
                    <w:jc w:val="left"/>
                    <w:jc w:val="center"/>
                  </w:pPr>
                  <w:r>
                    <w:t xml:space="preserve">Race</w:t>
                  </w:r>
                </w:p>
              </w:tc>
            </w:tr>
            <w:tr>
              <w:tc>
                <w:tcPr/>
                <w:p>
                  <w:pPr>
                    <w:pStyle w:val="Compact"/>
                  </w:pPr>
                </w:p>
              </w:tc>
              <w:tc>
                <w:tcPr/>
                <w:p>
                  <w:pPr>
                    <w:pStyle w:val="Compact"/>
                    <w:jc w:val="left"/>
                    <w:jc w:val="center"/>
                  </w:pPr>
                  <w:r>
                    <w:t xml:space="preserve">Ethnicity</w:t>
                  </w:r>
                </w:p>
              </w:tc>
            </w:tr>
            <w:tr>
              <w:tc>
                <w:tcPr/>
                <w:p>
                  <w:pPr>
                    <w:pStyle w:val="Compact"/>
                  </w:pPr>
                </w:p>
              </w:tc>
              <w:tc>
                <w:tcPr/>
                <w:p>
                  <w:pPr>
                    <w:pStyle w:val="Compact"/>
                    <w:jc w:val="left"/>
                    <w:jc w:val="center"/>
                  </w:pPr>
                  <w:r>
                    <w:t xml:space="preserve">Highest Education</w:t>
                  </w:r>
                </w:p>
              </w:tc>
            </w:tr>
            <w:tr>
              <w:tc>
                <w:tcPr/>
                <w:p>
                  <w:pPr>
                    <w:pStyle w:val="Compact"/>
                  </w:pPr>
                </w:p>
              </w:tc>
              <w:tc>
                <w:tcPr/>
                <w:p>
                  <w:pPr>
                    <w:pStyle w:val="Compact"/>
                    <w:jc w:val="left"/>
                    <w:jc w:val="center"/>
                  </w:pPr>
                  <w:r>
                    <w:t xml:space="preserve">Employment Status</w:t>
                  </w:r>
                </w:p>
              </w:tc>
            </w:tr>
            <w:tr>
              <w:tc>
                <w:tcPr/>
                <w:p>
                  <w:pPr>
                    <w:pStyle w:val="Compact"/>
                  </w:pPr>
                </w:p>
              </w:tc>
              <w:tc>
                <w:tcPr/>
                <w:p>
                  <w:pPr>
                    <w:pStyle w:val="Compact"/>
                    <w:jc w:val="left"/>
                    <w:jc w:val="center"/>
                  </w:pPr>
                  <w:r>
                    <w:t xml:space="preserve">Total Personal Gross Income</w:t>
                  </w:r>
                </w:p>
              </w:tc>
            </w:tr>
            <w:tr>
              <w:tc>
                <w:tcPr/>
                <w:p>
                  <w:pPr>
                    <w:pStyle w:val="Compact"/>
                  </w:pPr>
                </w:p>
              </w:tc>
              <w:tc>
                <w:tcPr/>
                <w:p>
                  <w:pPr>
                    <w:pStyle w:val="Compact"/>
                    <w:jc w:val="left"/>
                    <w:jc w:val="center"/>
                  </w:pPr>
                  <w:r>
                    <w:t xml:space="preserve">Marital Status</w:t>
                  </w:r>
                </w:p>
              </w:tc>
            </w:tr>
            <w:tr>
              <w:tc>
                <w:tcPr/>
                <w:p>
                  <w:pPr>
                    <w:pStyle w:val="Compact"/>
                  </w:pPr>
                </w:p>
              </w:tc>
              <w:tc>
                <w:tcPr/>
                <w:p>
                  <w:pPr>
                    <w:pStyle w:val="Compact"/>
                    <w:jc w:val="left"/>
                    <w:jc w:val="center"/>
                  </w:pPr>
                  <w:r>
                    <w:t xml:space="preserve">Family Member</w:t>
                  </w:r>
                </w:p>
              </w:tc>
            </w:tr>
            <w:tr>
              <w:tc>
                <w:tcPr/>
                <w:p>
                  <w:pPr>
                    <w:pStyle w:val="Compact"/>
                    <w:jc w:val="left"/>
                    <w:jc w:val="center"/>
                  </w:pPr>
                  <w:r>
                    <w:t xml:space="preserve">Alcohol Use</w:t>
                  </w:r>
                </w:p>
              </w:tc>
              <w:tc>
                <w:tcPr/>
                <w:p>
                  <w:pPr>
                    <w:pStyle w:val="Compact"/>
                    <w:jc w:val="left"/>
                    <w:jc w:val="center"/>
                  </w:pPr>
                  <w:r>
                    <w:t xml:space="preserve">Alcohol Use History</w:t>
                  </w:r>
                </w:p>
              </w:tc>
            </w:tr>
            <w:tr>
              <w:tc>
                <w:tcPr/>
                <w:p>
                  <w:pPr>
                    <w:pStyle w:val="Compact"/>
                  </w:pPr>
                </w:p>
              </w:tc>
              <w:tc>
                <w:tcPr/>
                <w:p>
                  <w:pPr>
                    <w:pStyle w:val="Compact"/>
                    <w:jc w:val="left"/>
                    <w:jc w:val="center"/>
                  </w:pPr>
                  <w:r>
                    <w:t xml:space="preserve">DSM-5 Checklist for AUD</w:t>
                  </w:r>
                </w:p>
              </w:tc>
            </w:tr>
            <w:tr>
              <w:tc>
                <w:tcPr/>
                <w:p>
                  <w:pPr>
                    <w:pStyle w:val="Compact"/>
                  </w:pPr>
                </w:p>
              </w:tc>
              <w:tc>
                <w:tcPr/>
                <w:p>
                  <w:pPr>
                    <w:pStyle w:val="Compact"/>
                    <w:jc w:val="left"/>
                    <w:jc w:val="center"/>
                  </w:pPr>
                  <w:r>
                    <w:t xml:space="preserve">Young Adult Alcohol Problems Test</w:t>
                  </w:r>
                </w:p>
              </w:tc>
            </w:tr>
            <w:tr>
              <w:tc>
                <w:tcPr/>
                <w:p>
                  <w:pPr>
                    <w:pStyle w:val="Compact"/>
                  </w:pPr>
                </w:p>
              </w:tc>
              <w:tc>
                <w:tcPr/>
                <w:p>
                  <w:pPr>
                    <w:pStyle w:val="Compact"/>
                    <w:jc w:val="left"/>
                    <w:jc w:val="center"/>
                  </w:pPr>
                  <w:r>
                    <w:t xml:space="preserve">WHO-The Alcohol, Smoking and Substance Involvement Screening Test</w:t>
                  </w:r>
                </w:p>
              </w:tc>
            </w:tr>
          </w:tbl>
          <w:bookmarkEnd w:id="36"/>
          <w:p/>
        </w:tc>
      </w:tr>
    </w:tbl>
    <w:bookmarkEnd w:id="37"/>
    <w:bookmarkStart w:id="38"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are used as a dichotomous outcome variable (Lapse vs. No Lapse). We will predict alcohol lapses in the next 24-hour window (i.e., next day lapse prediction). Every outcome window will start from 4 a.m. everyday and end 24 hours later.</w:t>
      </w:r>
    </w:p>
    <w:bookmarkEnd w:id="38"/>
    <w:bookmarkStart w:id="39"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have predictor sets that differ in prediction window length and their analytic unit. We define text prediction windows to be 3-day and 1-week preceding the lapse window. We analyzed the two prediction windows both individually and combined (i.e., three configurations in total).</w:t>
      </w:r>
    </w:p>
    <w:bookmarkEnd w:id="39"/>
    <w:bookmarkEnd w:id="40"/>
    <w:bookmarkStart w:id="41" w:name="feature-engineering"/>
    <w:p>
      <w:pPr>
        <w:pStyle w:val="Heading2"/>
      </w:pPr>
      <w:r>
        <w:t xml:space="preserve">Feature Engineering</w:t>
      </w:r>
    </w:p>
    <w:p>
      <w:pPr>
        <w:pStyle w:val="FirstParagraph"/>
      </w:pPr>
      <w:r>
        <w:t xml:space="preserve">Text messages will serve as the only raw source for all feature engineering. The document sets will go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This normalizatio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normalized on the square root of word count, and combination of these two.</w:t>
      </w:r>
    </w:p>
    <w:bookmarkEnd w:id="41"/>
    <w:bookmarkStart w:id="42" w:name="candidate-machine-learning-algorithms"/>
    <w:p>
      <w:pPr>
        <w:pStyle w:val="Heading2"/>
      </w:pPr>
      <w:r>
        <w:t xml:space="preserve">Candidate Machine Learning Algorithms</w:t>
      </w:r>
    </w:p>
    <w:p>
      <w:pPr>
        <w:pStyle w:val="FirstParagraph"/>
      </w:pPr>
      <w:r>
        <w:t xml:space="preserve">Note that our candidate machine learning algorithms already differ on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We further consider a range of candidate statistical algorithms that vary with regard to their model complexity, model assumptions, and training speed. Candidate algorithms that will be used include glmnet (penalized, parametric linear model), random forest (RF), and XGBoost.</w:t>
      </w:r>
    </w:p>
    <w:bookmarkEnd w:id="42"/>
    <w:bookmarkStart w:id="43" w:name="Xda4838104ef928b1dd225c52b14c384f01c87e8"/>
    <w:p>
      <w:pPr>
        <w:pStyle w:val="Heading2"/>
      </w:pPr>
      <w:r>
        <w:t xml:space="preserve">Model Training and Performance Evaluation</w:t>
      </w:r>
    </w:p>
    <w:p>
      <w:pPr>
        <w:pStyle w:val="FirstParagraph"/>
      </w:pPr>
      <w:r>
        <w:t xml:space="preserve">We performed grouped, nested cross-validations to perform hyperparameter tuning and select the best model configuration. The dataset was be participant-grouped so that each individual will be assigned to either held-in or held-out set to avoid bias of predicting participants’ lapses using their own data. The nested cross-validation method uses two nested loops to divide folds. In the inner loop, held-out folds are used as a validation set for model selection. In the outer loop, held-out folds are utilized as a test set for model evaluation. More specifically, we will use one repeat of 10-fold cross-validation in the inner loop for model selection and 3 repeats of 10-fold cross-validation in outer loop for model evaluation.</w:t>
      </w:r>
    </w:p>
    <w:p>
      <w:pPr>
        <w:pStyle w:val="BodyText"/>
      </w:pPr>
      <w:r>
        <w:t xml:space="preserve">The primary performance metrics to select the best model configuration and evaluate the model performance on the test sets will be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We will report the median auROCs for the 30 held-out folds. The model with the highest auROC among the ones differing on those eight configurations (see</w:t>
      </w:r>
      <w:r>
        <w:t xml:space="preserve"> </w:t>
      </w:r>
      <w:r>
        <w:rPr>
          <w:i/>
          <w:iCs/>
        </w:rPr>
        <w:t xml:space="preserve">Section SMS Messages</w:t>
      </w:r>
      <w:r>
        <w:t xml:space="preserve">) and statistical methods (see</w:t>
      </w:r>
      <w:r>
        <w:t xml:space="preserve"> </w:t>
      </w:r>
      <w:r>
        <w:rPr>
          <w:i/>
          <w:iCs/>
        </w:rPr>
        <w:t xml:space="preserve">Section Candidate Machine Learning Algorithms</w:t>
      </w:r>
      <w:r>
        <w:t xml:space="preserve">) will be selected as the best model for each natural language processing technique.</w:t>
      </w:r>
    </w:p>
    <w:bookmarkEnd w:id="43"/>
    <w:bookmarkStart w:id="44" w:name="feature-importance"/>
    <w:p>
      <w:pPr>
        <w:pStyle w:val="Heading2"/>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 the absolute value of all local Shapley values.</w:t>
      </w:r>
    </w:p>
    <w:bookmarkEnd w:id="44"/>
    <w:bookmarkStart w:id="45" w:name="model-comparison-and-algorithmic-bias"/>
    <w:p>
      <w:pPr>
        <w:pStyle w:val="Heading2"/>
      </w:pPr>
      <w:r>
        <w:t xml:space="preserve">Model Comparison and Algorithmic Bias</w:t>
      </w:r>
    </w:p>
    <w:p>
      <w:pPr>
        <w:pStyle w:val="FirstParagraph"/>
      </w:pPr>
      <w:r>
        <w:t xml:space="preserve">We further performed a Bayesian hierarchical generalized linear model to estimate the posterior probability (i.e., the likelihood of achieving the results given out data) distributions of the auROCs. We will regress the 30 auROCs from the held-out test set as a function of feature engineering technique (a total of 10 comparisons for the five NLP methods). The two random intercepts in the models include the repeat and the fold within repeat. We will report the 95% CIs for our models’ auROCs and determine if they include .5 (chance performance). We will also report the 95% CI for the differences in performance with regard to Bayesian comparison. If this CI does not include 0, we can conclude that the feature engineering technique yields better model performance than the other.</w:t>
      </w:r>
    </w:p>
    <w:p>
      <w:pPr>
        <w:pStyle w:val="BodyText"/>
      </w:pPr>
      <w:r>
        <w:t xml:space="preserve">A subset of individual characteristic measures will be used to evaluate model fairness on subgroups. We compared model performance among each sex, racial, age and income subgruops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regresses the auROCs from the 30 held-out test set as a function of group membership (privileged group vs. unprivileged group in each of above individual characteristics). We reported the 95% CI for model performance differences and examine if they include 0.</w:t>
      </w:r>
    </w:p>
    <w:p>
      <w:r>
        <w:br w:type="page"/>
      </w:r>
    </w:p>
    <w:bookmarkEnd w:id="45"/>
    <w:bookmarkEnd w:id="46"/>
    <w:bookmarkStart w:id="98" w:name="results"/>
    <w:p>
      <w:pPr>
        <w:pStyle w:val="Heading1"/>
      </w:pPr>
      <w:r>
        <w:t xml:space="preserve">Results</w:t>
      </w:r>
    </w:p>
    <w:bookmarkStart w:id="52"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50" w:name="fig-demographics"/>
          <w:p>
            <w:pPr>
              <w:pStyle w:val="Compact"/>
              <w:jc w:val="center"/>
            </w:pPr>
            <w:r>
              <w:drawing>
                <wp:inline>
                  <wp:extent cx="5334000" cy="2667000"/>
                  <wp:effectExtent b="0" l="0" r="0" t="0"/>
                  <wp:docPr descr="" title="" id="48" name="Picture"/>
                  <a:graphic>
                    <a:graphicData uri="http://schemas.openxmlformats.org/drawingml/2006/picture">
                      <pic:pic>
                        <pic:nvPicPr>
                          <pic:cNvPr descr="index_files/figure-docx/notebooks-eda_demographics-fig-demographics-output-1.png" id="49" name="Picture"/>
                          <pic:cNvPicPr>
                            <a:picLocks noChangeArrowheads="1" noChangeAspect="1"/>
                          </pic:cNvPicPr>
                        </pic:nvPicPr>
                        <pic:blipFill>
                          <a:blip r:embed="rId4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Demographic Distribution</w:t>
            </w:r>
          </w:p>
          <w:bookmarkEnd w:id="50"/>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EDA on Subject Demographics</w:t>
        </w:r>
      </w:hyperlink>
    </w:p>
    <w:bookmarkEnd w:id="52"/>
    <w:bookmarkStart w:id="73" w:name="sample-distribution"/>
    <w:p>
      <w:pPr>
        <w:pStyle w:val="Heading2"/>
      </w:pPr>
      <w:r>
        <w:t xml:space="preserve">Sample Distribution</w:t>
      </w:r>
    </w:p>
    <w:p>
      <w:pPr>
        <w:pStyle w:val="FirstParagraph"/>
      </w:pPr>
      <w:r>
        <w:t xml:space="preserve">The final total number of lapse labels in the dataset is 11562. On average, each participant has 83.78 labels (sd = 11.35, median = 88.00, range = 30.00 - 90.00).</w:t>
      </w:r>
    </w:p>
    <w:tbl>
      <w:tblPr>
        <w:tblStyle w:val="Table"/>
        <w:tblW w:type="pct" w:w="5000"/>
        <w:tblLayout w:type="fixed"/>
        <w:tblLook w:firstRow="0" w:lastRow="0" w:firstColumn="0" w:lastColumn="0" w:noHBand="0" w:noVBand="0" w:val="0000"/>
      </w:tblPr>
      <w:tblGrid>
        <w:gridCol w:w="7920"/>
      </w:tblGrid>
      <w:tr>
        <w:tc>
          <w:tcPr/>
          <w:bookmarkStart w:id="56" w:name="fig-lapse_count"/>
          <w:p>
            <w:pPr>
              <w:pStyle w:val="Compact"/>
              <w:jc w:val="center"/>
            </w:pPr>
            <w:r>
              <w:drawing>
                <wp:inline>
                  <wp:extent cx="5334000" cy="3810000"/>
                  <wp:effectExtent b="0" l="0" r="0" t="0"/>
                  <wp:docPr descr="" title="" id="54" name="Picture"/>
                  <a:graphic>
                    <a:graphicData uri="http://schemas.openxmlformats.org/drawingml/2006/picture">
                      <pic:pic>
                        <pic:nvPicPr>
                          <pic:cNvPr descr="index_files/figure-docx/notebooks-eda_messages-fig-lapse_count-output-1.png" id="55" name="Picture"/>
                          <pic:cNvPicPr>
                            <a:picLocks noChangeArrowheads="1" noChangeAspect="1"/>
                          </pic:cNvPicPr>
                        </pic:nvPicPr>
                        <pic:blipFill>
                          <a:blip r:embed="rId5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Distribution of Lapse Label Counts</w:t>
            </w:r>
          </w:p>
          <w:bookmarkEnd w:id="56"/>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EDA on Raw Messages</w:t>
        </w:r>
      </w:hyperlink>
    </w:p>
    <w:p>
      <w:pPr>
        <w:pStyle w:val="BodyText"/>
      </w:pPr>
      <w:r>
        <w:t xml:space="preserve">The total number of messages in the dataset is 313492. On average, each subject has 2271.68 messages (sd = 2536.60, range = 100.00 - 15884.00). The average message length across all participants is 10.42 words (sd = 14.30, median = 7.00, range = 1.00 - 1266.00).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7920"/>
      </w:tblGrid>
      <w:tr>
        <w:tc>
          <w:tcPr/>
          <w:bookmarkStart w:id="61" w:name="fig-raw"/>
          <w:p>
            <w:pPr>
              <w:pStyle w:val="Compact"/>
              <w:jc w:val="center"/>
            </w:pPr>
            <w:r>
              <w:drawing>
                <wp:inline>
                  <wp:extent cx="5334000" cy="3810000"/>
                  <wp:effectExtent b="0" l="0" r="0" t="0"/>
                  <wp:docPr descr="" title="" id="59" name="Picture"/>
                  <a:graphic>
                    <a:graphicData uri="http://schemas.openxmlformats.org/drawingml/2006/picture">
                      <pic:pic>
                        <pic:nvPicPr>
                          <pic:cNvPr descr="index_files/figure-docx/notebooks-eda_messages-fig-raw-output-1.png" id="60" name="Picture"/>
                          <pic:cNvPicPr>
                            <a:picLocks noChangeArrowheads="1" noChangeAspect="1"/>
                          </pic:cNvPicPr>
                        </pic:nvPicPr>
                        <pic:blipFill>
                          <a:blip r:embed="rId5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Sample Characteristics of Raw Messages</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EDA on Raw Messages</w:t>
        </w:r>
      </w:hyperlink>
    </w:p>
    <w:p>
      <w:pPr>
        <w:pStyle w:val="BodyText"/>
      </w:pPr>
      <w:r>
        <w:t xml:space="preserve">On average, each lapse label has 79.21 messages (sd = 112.13, median = 40.00, range = 1.00 - 1414.00)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66" w:name="fig-3day"/>
          <w:p>
            <w:pPr>
              <w:pStyle w:val="Compact"/>
              <w:jc w:val="center"/>
            </w:pPr>
            <w:r>
              <w:drawing>
                <wp:inline>
                  <wp:extent cx="5334000" cy="3810000"/>
                  <wp:effectExtent b="0" l="0" r="0" t="0"/>
                  <wp:docPr descr="" title="" id="64" name="Picture"/>
                  <a:graphic>
                    <a:graphicData uri="http://schemas.openxmlformats.org/drawingml/2006/picture">
                      <pic:pic>
                        <pic:nvPicPr>
                          <pic:cNvPr descr="index_files/figure-docx/notebooks-eda_messages-fig-3day-output-2.png" id="65" name="Picture"/>
                          <pic:cNvPicPr>
                            <a:picLocks noChangeArrowheads="1" noChangeAspect="1"/>
                          </pic:cNvPicPr>
                        </pic:nvPicPr>
                        <pic:blipFill>
                          <a:blip r:embed="rId6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Sample Characteristics in the 3-Day Prediction Window</w:t>
            </w:r>
          </w:p>
          <w:bookmarkEnd w:id="66"/>
        </w:tc>
      </w:tr>
    </w:tbl>
    <w:p>
      <w:pPr>
        <w:pStyle w:val="BodyText"/>
      </w:pPr>
      <w:r>
        <w:rPr>
          <w:vertAlign w:val="subscript"/>
        </w:rPr>
        <w:t xml:space="preserve">Source:</w:t>
      </w:r>
      <w:r>
        <w:rPr>
          <w:vertAlign w:val="subscript"/>
        </w:rPr>
        <w:t xml:space="preserve"> </w:t>
      </w:r>
      <w:hyperlink r:id="rId67">
        <w:r>
          <w:rPr>
            <w:rStyle w:val="Hyperlink"/>
            <w:vertAlign w:val="subscript"/>
          </w:rPr>
          <w:t xml:space="preserve">EDA on Raw Messages</w:t>
        </w:r>
      </w:hyperlink>
    </w:p>
    <w:p>
      <w:pPr>
        <w:pStyle w:val="BodyText"/>
      </w:pPr>
      <w:r>
        <w:t xml:space="preserve">On average, each lapse label has 180.42 messages (sd = 241.30, median = 96.00, range = 1.00 - 2866.00)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71" w:name="fig-1week"/>
          <w:p>
            <w:pPr>
              <w:pStyle w:val="Compact"/>
              <w:jc w:val="center"/>
            </w:pPr>
            <w:r>
              <w:drawing>
                <wp:inline>
                  <wp:extent cx="5334000" cy="3810000"/>
                  <wp:effectExtent b="0" l="0" r="0" t="0"/>
                  <wp:docPr descr="" title="" id="69" name="Picture"/>
                  <a:graphic>
                    <a:graphicData uri="http://schemas.openxmlformats.org/drawingml/2006/picture">
                      <pic:pic>
                        <pic:nvPicPr>
                          <pic:cNvPr descr="index_files/figure-docx/notebooks-eda_messages-fig-1week-output-2.png" id="70" name="Picture"/>
                          <pic:cNvPicPr>
                            <a:picLocks noChangeArrowheads="1" noChangeAspect="1"/>
                          </pic:cNvPicPr>
                        </pic:nvPicPr>
                        <pic:blipFill>
                          <a:blip r:embed="rId6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Sample Characteristics in the 1-Week Prediction Window</w:t>
            </w:r>
          </w:p>
          <w:bookmarkEnd w:id="71"/>
        </w:tc>
      </w:tr>
    </w:tbl>
    <w:p>
      <w:pPr>
        <w:pStyle w:val="BodyText"/>
      </w:pPr>
      <w:r>
        <w:rPr>
          <w:vertAlign w:val="subscript"/>
        </w:rPr>
        <w:t xml:space="preserve">Source:</w:t>
      </w:r>
      <w:r>
        <w:rPr>
          <w:vertAlign w:val="subscript"/>
        </w:rPr>
        <w:t xml:space="preserve"> </w:t>
      </w:r>
      <w:hyperlink r:id="rId72">
        <w:r>
          <w:rPr>
            <w:rStyle w:val="Hyperlink"/>
            <w:vertAlign w:val="subscript"/>
          </w:rPr>
          <w:t xml:space="preserve">EDA on Raw Messages</w:t>
        </w:r>
      </w:hyperlink>
    </w:p>
    <w:bookmarkEnd w:id="73"/>
    <w:bookmarkStart w:id="74" w:name="liwc-features"/>
    <w:p>
      <w:pPr>
        <w:pStyle w:val="Heading2"/>
      </w:pPr>
      <w:r>
        <w:t xml:space="preserve">LIWC Features</w:t>
      </w:r>
    </w:p>
    <w:p>
      <w:pPr>
        <w:pStyle w:val="FirstParagraph"/>
      </w:pPr>
      <w:r>
        <w:t xml:space="preserve">We obtained LIWC scores from XXX linguistic categories.</w:t>
      </w:r>
    </w:p>
    <w:bookmarkEnd w:id="74"/>
    <w:bookmarkStart w:id="90" w:name="model-evaluation"/>
    <w:p>
      <w:pPr>
        <w:pStyle w:val="Heading2"/>
      </w:pPr>
      <w:r>
        <w:t xml:space="preserve">Model Evaluation</w:t>
      </w:r>
    </w:p>
    <w:tbl>
      <w:tblPr>
        <w:tblStyle w:val="Table"/>
        <w:tblW w:type="pct" w:w="5000"/>
        <w:tblLayout w:type="fixed"/>
        <w:tblLook w:firstRow="0" w:lastRow="0" w:firstColumn="0" w:lastColumn="0" w:noHBand="0" w:noVBand="0" w:val="0000"/>
      </w:tblPr>
      <w:tblGrid>
        <w:gridCol w:w="7920"/>
      </w:tblGrid>
      <w:tr>
        <w:tc>
          <w:tcPr/>
          <w:bookmarkStart w:id="78" w:name="fig-auroc"/>
          <w:p>
            <w:pPr>
              <w:pStyle w:val="Compact"/>
              <w:jc w:val="center"/>
            </w:pPr>
            <w:r>
              <w:drawing>
                <wp:inline>
                  <wp:extent cx="5334000" cy="3810000"/>
                  <wp:effectExtent b="0" l="0" r="0" t="0"/>
                  <wp:docPr descr="" title="" id="76" name="Picture"/>
                  <a:graphic>
                    <a:graphicData uri="http://schemas.openxmlformats.org/drawingml/2006/picture">
                      <pic:pic>
                        <pic:nvPicPr>
                          <pic:cNvPr descr="index_files/figure-docx/notebooks-auROC_plot-fig-auroc-output-2.png" id="77" name="Picture"/>
                          <pic:cNvPicPr>
                            <a:picLocks noChangeArrowheads="1" noChangeAspect="1"/>
                          </pic:cNvPicPr>
                        </pic:nvPicPr>
                        <pic:blipFill>
                          <a:blip r:embed="rId7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ROC Curve for the Best Model Configuration</w:t>
            </w:r>
          </w:p>
          <w:bookmarkEnd w:id="78"/>
        </w:tc>
      </w:tr>
    </w:tbl>
    <w:p>
      <w:pPr>
        <w:pStyle w:val="BodyText"/>
      </w:pPr>
      <w:r>
        <w:rPr>
          <w:vertAlign w:val="subscript"/>
        </w:rPr>
        <w:t xml:space="preserve">Source:</w:t>
      </w:r>
      <w:r>
        <w:rPr>
          <w:vertAlign w:val="subscript"/>
        </w:rPr>
        <w:t xml:space="preserve"> </w:t>
      </w:r>
      <w:hyperlink r:id="rId79">
        <w:r>
          <w:rPr>
            <w:rStyle w:val="Hyperlink"/>
            <w:vertAlign w:val="subscript"/>
          </w:rPr>
          <w:t xml:space="preserve">Performance plots</w:t>
        </w:r>
      </w:hyperlink>
    </w:p>
    <w:tbl>
      <w:tblPr>
        <w:tblStyle w:val="Table"/>
        <w:tblW w:type="pct" w:w="5000"/>
        <w:tblLayout w:type="fixed"/>
        <w:tblLook w:firstRow="0" w:lastRow="0" w:firstColumn="0" w:lastColumn="0" w:noHBand="0" w:noVBand="0" w:val="0000"/>
      </w:tblPr>
      <w:tblGrid>
        <w:gridCol w:w="7920"/>
      </w:tblGrid>
      <w:tr>
        <w:tc>
          <w:tcPr/>
          <w:bookmarkStart w:id="83" w:name="fig-auroc_hist"/>
          <w:p>
            <w:pPr>
              <w:pStyle w:val="Compact"/>
              <w:jc w:val="center"/>
            </w:pPr>
            <w:r>
              <w:drawing>
                <wp:inline>
                  <wp:extent cx="5334000" cy="3200400"/>
                  <wp:effectExtent b="0" l="0" r="0" t="0"/>
                  <wp:docPr descr="" title="" id="81" name="Picture"/>
                  <a:graphic>
                    <a:graphicData uri="http://schemas.openxmlformats.org/drawingml/2006/picture">
                      <pic:pic>
                        <pic:nvPicPr>
                          <pic:cNvPr descr="index_files/figure-docx/notebooks-auROC_plot-fig-auroc_hist-output-2.png" id="82" name="Picture"/>
                          <pic:cNvPicPr>
                            <a:picLocks noChangeArrowheads="1" noChangeAspect="1"/>
                          </pic:cNvPicPr>
                        </pic:nvPicPr>
                        <pic:blipFill>
                          <a:blip r:embed="rId8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Distribution of auROCs Across 300 Inner Folds</w:t>
            </w:r>
          </w:p>
          <w:bookmarkEnd w:id="83"/>
        </w:tc>
      </w:tr>
    </w:tbl>
    <w:p>
      <w:pPr>
        <w:pStyle w:val="BodyText"/>
      </w:pPr>
      <w:r>
        <w:rPr>
          <w:vertAlign w:val="subscript"/>
        </w:rPr>
        <w:t xml:space="preserve">Source:</w:t>
      </w:r>
      <w:r>
        <w:rPr>
          <w:vertAlign w:val="subscript"/>
        </w:rPr>
        <w:t xml:space="preserve"> </w:t>
      </w:r>
      <w:hyperlink r:id="rId84">
        <w:r>
          <w:rPr>
            <w:rStyle w:val="Hyperlink"/>
            <w:vertAlign w:val="subscript"/>
          </w:rPr>
          <w:t xml:space="preserve">Performance plots</w:t>
        </w:r>
      </w:hyperlink>
    </w:p>
    <w:tbl>
      <w:tblPr>
        <w:tblStyle w:val="Table"/>
        <w:tblW w:type="pct" w:w="5000"/>
        <w:tblLayout w:type="fixed"/>
        <w:tblLook w:firstRow="0" w:lastRow="0" w:firstColumn="0" w:lastColumn="0" w:noHBand="0" w:noVBand="0" w:val="0000"/>
      </w:tblPr>
      <w:tblGrid>
        <w:gridCol w:w="7920"/>
      </w:tblGrid>
      <w:tr>
        <w:tc>
          <w:tcPr/>
          <w:bookmarkStart w:id="88" w:name="fig-auroc_posterior"/>
          <w:p>
            <w:pPr>
              <w:pStyle w:val="Compact"/>
              <w:jc w:val="center"/>
            </w:pPr>
            <w:r>
              <w:drawing>
                <wp:inline>
                  <wp:extent cx="5334000" cy="3200400"/>
                  <wp:effectExtent b="0" l="0" r="0" t="0"/>
                  <wp:docPr descr="" title="" id="86" name="Picture"/>
                  <a:graphic>
                    <a:graphicData uri="http://schemas.openxmlformats.org/drawingml/2006/picture">
                      <pic:pic>
                        <pic:nvPicPr>
                          <pic:cNvPr descr="index_files/figure-docx/notebooks-auROC_plot-fig-auroc_posterior-output-1.png" id="87" name="Picture"/>
                          <pic:cNvPicPr>
                            <a:picLocks noChangeArrowheads="1" noChangeAspect="1"/>
                          </pic:cNvPicPr>
                        </pic:nvPicPr>
                        <pic:blipFill>
                          <a:blip r:embed="rId8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Posterior Distribution of auROC Scores</w:t>
            </w:r>
          </w:p>
          <w:bookmarkEnd w:id="88"/>
        </w:tc>
      </w:tr>
    </w:tbl>
    <w:p>
      <w:pPr>
        <w:pStyle w:val="BodyText"/>
      </w:pPr>
      <w:r>
        <w:rPr>
          <w:vertAlign w:val="subscript"/>
        </w:rPr>
        <w:t xml:space="preserve">Source:</w:t>
      </w:r>
      <w:r>
        <w:rPr>
          <w:vertAlign w:val="subscript"/>
        </w:rPr>
        <w:t xml:space="preserve"> </w:t>
      </w:r>
      <w:hyperlink r:id="rId89">
        <w:r>
          <w:rPr>
            <w:rStyle w:val="Hyperlink"/>
            <w:vertAlign w:val="subscript"/>
          </w:rPr>
          <w:t xml:space="preserve">Performance plots</w:t>
        </w:r>
      </w:hyperlink>
    </w:p>
    <w:bookmarkEnd w:id="90"/>
    <w:bookmarkStart w:id="97" w:name="model-fairness"/>
    <w:p>
      <w:pPr>
        <w:pStyle w:val="Heading2"/>
      </w:pPr>
      <w:r>
        <w:t xml:space="preserve">Model Fairness</w:t>
      </w:r>
    </w:p>
    <w:tbl>
      <w:tblPr>
        <w:tblStyle w:val="Table"/>
        <w:tblW w:type="pct" w:w="5000"/>
        <w:tblLayout w:type="fixed"/>
        <w:tblLook w:firstRow="0" w:lastRow="0" w:firstColumn="0" w:lastColumn="0" w:noHBand="0" w:noVBand="0" w:val="0000"/>
      </w:tblPr>
      <w:tblGrid>
        <w:gridCol w:w="7920"/>
      </w:tblGrid>
      <w:tr>
        <w:tc>
          <w:tcPr/>
          <w:bookmarkStart w:id="94" w:name="fig-fairness"/>
          <w:p>
            <w:pPr>
              <w:pStyle w:val="Compact"/>
              <w:jc w:val="center"/>
            </w:pPr>
            <w:r>
              <w:drawing>
                <wp:inline>
                  <wp:extent cx="5334000" cy="3810000"/>
                  <wp:effectExtent b="0" l="0" r="0" t="0"/>
                  <wp:docPr descr="" title="" id="92" name="Picture"/>
                  <a:graphic>
                    <a:graphicData uri="http://schemas.openxmlformats.org/drawingml/2006/picture">
                      <pic:pic>
                        <pic:nvPicPr>
                          <pic:cNvPr descr="index_files/figure-docx/notebooks-fairness-fig-fairness-output-1.png" id="93" name="Picture"/>
                          <pic:cNvPicPr>
                            <a:picLocks noChangeArrowheads="1" noChangeAspect="1"/>
                          </pic:cNvPicPr>
                        </pic:nvPicPr>
                        <pic:blipFill>
                          <a:blip r:embed="rId9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auROC posterior distribution across different privileged vs. unprivileged groups</w:t>
            </w:r>
          </w:p>
          <w:bookmarkEnd w:id="94"/>
        </w:tc>
      </w:tr>
    </w:tbl>
    <w:p>
      <w:pPr>
        <w:pStyle w:val="BodyText"/>
      </w:pPr>
      <w:r>
        <w:rPr>
          <w:vertAlign w:val="subscript"/>
        </w:rPr>
        <w:t xml:space="preserve">Source:</w:t>
      </w:r>
      <w:r>
        <w:rPr>
          <w:vertAlign w:val="subscript"/>
        </w:rPr>
        <w:t xml:space="preserve"> </w:t>
      </w:r>
      <w:hyperlink r:id="rId95">
        <w:r>
          <w:rPr>
            <w:rStyle w:val="Hyperlink"/>
            <w:vertAlign w:val="subscript"/>
          </w:rPr>
          <w:t xml:space="preserve">Subgroup Analysis</w:t>
        </w:r>
      </w:hyperlink>
    </w:p>
    <w:p>
      <w:pPr>
        <w:pStyle w:val="BodyText"/>
      </w:pPr>
      <w:r>
        <w:t xml:space="preserve">See</w:t>
      </w:r>
      <w:r>
        <w:t xml:space="preserve"> </w:t>
      </w:r>
      <w:hyperlink w:anchor="tbl-fairness">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6" w:name="tbl-fairness"/>
          <w:p>
            <w:pPr>
              <w:jc w:val="center"/>
            </w:pPr>
            <w:pPr>
              <w:jc w:val="start"/>
              <w:spacing w:before="200"/>
              <w:pStyle w:val="ImageCaption"/>
            </w:pPr>
            <w:r>
              <w:t xml:space="preserve">Table 2: Model Performance Difference across different demographic subgroups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median</w:t>
                  </w:r>
                </w:p>
              </w:tc>
              <w:tc>
                <w:tcPr/>
                <w:p>
                  <w:pPr>
                    <w:pStyle w:val="Compact"/>
                    <w:jc w:val="left"/>
                    <w:jc w:val="center"/>
                  </w:pPr>
                  <w:r>
                    <w:t xml:space="preserve">lower</w:t>
                  </w:r>
                </w:p>
              </w:tc>
              <w:tc>
                <w:tcPr/>
                <w:p>
                  <w:pPr>
                    <w:pStyle w:val="Compact"/>
                    <w:jc w:val="left"/>
                    <w:jc w:val="center"/>
                  </w:pPr>
                  <w:r>
                    <w:t xml:space="preserve">upper</w:t>
                  </w:r>
                </w:p>
              </w:tc>
              <w:tc>
                <w:tcPr/>
                <w:p>
                  <w:pPr>
                    <w:pStyle w:val="Compact"/>
                    <w:jc w:val="left"/>
                    <w:jc w:val="center"/>
                  </w:pPr>
                  <w:r>
                    <w:t xml:space="preserve">probability</w:t>
                  </w:r>
                </w:p>
              </w:tc>
            </w:tr>
            <w:tr>
              <w:tc>
                <w:tcPr/>
                <w:p>
                  <w:pPr>
                    <w:pStyle w:val="Compact"/>
                    <w:jc w:val="left"/>
                    <w:jc w:val="center"/>
                  </w:pPr>
                  <w:r>
                    <w:t xml:space="preserve">white vs. non_white</w:t>
                  </w:r>
                </w:p>
              </w:tc>
              <w:tc>
                <w:tcPr/>
                <w:p>
                  <w:pPr>
                    <w:pStyle w:val="Compact"/>
                    <w:jc w:val="left"/>
                    <w:jc w:val="center"/>
                  </w:pPr>
                  <w:r>
                    <w:t xml:space="preserve">0.03</w:t>
                  </w:r>
                </w:p>
              </w:tc>
              <w:tc>
                <w:tcPr/>
                <w:p>
                  <w:pPr>
                    <w:pStyle w:val="Compact"/>
                    <w:jc w:val="left"/>
                    <w:jc w:val="center"/>
                  </w:pPr>
                  <w:r>
                    <w:t xml:space="preserve">0.01</w:t>
                  </w:r>
                </w:p>
              </w:tc>
              <w:tc>
                <w:tcPr/>
                <w:p>
                  <w:pPr>
                    <w:pStyle w:val="Compact"/>
                    <w:jc w:val="left"/>
                    <w:jc w:val="center"/>
                  </w:pPr>
                  <w:r>
                    <w:t xml:space="preserve">0.06</w:t>
                  </w:r>
                </w:p>
              </w:tc>
              <w:tc>
                <w:tcPr/>
                <w:p>
                  <w:pPr>
                    <w:pStyle w:val="Compact"/>
                    <w:jc w:val="left"/>
                    <w:jc w:val="center"/>
                  </w:pPr>
                  <w:r>
                    <w:t xml:space="preserve">0.99</w:t>
                  </w:r>
                </w:p>
              </w:tc>
            </w:tr>
            <w:tr>
              <w:tc>
                <w:tcPr/>
                <w:p>
                  <w:pPr>
                    <w:pStyle w:val="Compact"/>
                    <w:jc w:val="left"/>
                    <w:jc w:val="center"/>
                  </w:pPr>
                  <w:r>
                    <w:t xml:space="preserve">male vs. female</w:t>
                  </w:r>
                </w:p>
              </w:tc>
              <w:tc>
                <w:tcPr/>
                <w:p>
                  <w:pPr>
                    <w:pStyle w:val="Compact"/>
                    <w:jc w:val="left"/>
                    <w:jc w:val="center"/>
                  </w:pPr>
                  <w:r>
                    <w:t xml:space="preserve">0.02</w:t>
                  </w:r>
                </w:p>
              </w:tc>
              <w:tc>
                <w:tcPr/>
                <w:p>
                  <w:pPr>
                    <w:pStyle w:val="Compact"/>
                    <w:jc w:val="left"/>
                    <w:jc w:val="center"/>
                  </w:pPr>
                  <w:r>
                    <w:t xml:space="preserve">0.01</w:t>
                  </w:r>
                </w:p>
              </w:tc>
              <w:tc>
                <w:tcPr/>
                <w:p>
                  <w:pPr>
                    <w:pStyle w:val="Compact"/>
                    <w:jc w:val="left"/>
                    <w:jc w:val="center"/>
                  </w:pPr>
                  <w:r>
                    <w:t xml:space="preserve">0.04</w:t>
                  </w:r>
                </w:p>
              </w:tc>
              <w:tc>
                <w:tcPr/>
                <w:p>
                  <w:pPr>
                    <w:pStyle w:val="Compact"/>
                    <w:jc w:val="left"/>
                    <w:jc w:val="center"/>
                  </w:pPr>
                  <w:r>
                    <w:t xml:space="preserve">1.00</w:t>
                  </w:r>
                </w:p>
              </w:tc>
            </w:tr>
            <w:tr>
              <w:tc>
                <w:tcPr/>
                <w:p>
                  <w:pPr>
                    <w:pStyle w:val="Compact"/>
                    <w:jc w:val="left"/>
                    <w:jc w:val="center"/>
                  </w:pPr>
                  <w:r>
                    <w:t xml:space="preserve">younger vs. older</w:t>
                  </w:r>
                </w:p>
              </w:tc>
              <w:tc>
                <w:tcPr/>
                <w:p>
                  <w:pPr>
                    <w:pStyle w:val="Compact"/>
                    <w:jc w:val="left"/>
                    <w:jc w:val="center"/>
                  </w:pPr>
                  <w:r>
                    <w:t xml:space="preserve">0.04</w:t>
                  </w:r>
                </w:p>
              </w:tc>
              <w:tc>
                <w:tcPr/>
                <w:p>
                  <w:pPr>
                    <w:pStyle w:val="Compact"/>
                    <w:jc w:val="left"/>
                    <w:jc w:val="center"/>
                  </w:pPr>
                  <w:r>
                    <w:t xml:space="preserve">0.01</w:t>
                  </w:r>
                </w:p>
              </w:tc>
              <w:tc>
                <w:tcPr/>
                <w:p>
                  <w:pPr>
                    <w:pStyle w:val="Compact"/>
                    <w:jc w:val="left"/>
                    <w:jc w:val="center"/>
                  </w:pPr>
                  <w:r>
                    <w:t xml:space="preserve">0.07</w:t>
                  </w:r>
                </w:p>
              </w:tc>
              <w:tc>
                <w:tcPr/>
                <w:p>
                  <w:pPr>
                    <w:pStyle w:val="Compact"/>
                    <w:jc w:val="left"/>
                    <w:jc w:val="center"/>
                  </w:pPr>
                  <w:r>
                    <w:t xml:space="preserve">1.00</w:t>
                  </w:r>
                </w:p>
              </w:tc>
            </w:tr>
            <w:tr>
              <w:tc>
                <w:tcPr/>
                <w:p>
                  <w:pPr>
                    <w:pStyle w:val="Compact"/>
                    <w:jc w:val="left"/>
                    <w:jc w:val="center"/>
                  </w:pPr>
                  <w:r>
                    <w:t xml:space="preserve">above_poverty vs. below_poverty</w:t>
                  </w:r>
                </w:p>
              </w:tc>
              <w:tc>
                <w:tcPr/>
                <w:p>
                  <w:pPr>
                    <w:pStyle w:val="Compact"/>
                    <w:jc w:val="left"/>
                    <w:jc w:val="center"/>
                  </w:pPr>
                  <w:r>
                    <w:t xml:space="preserve">0.02</w:t>
                  </w:r>
                </w:p>
              </w:tc>
              <w:tc>
                <w:tcPr/>
                <w:p>
                  <w:pPr>
                    <w:pStyle w:val="Compact"/>
                    <w:jc w:val="left"/>
                    <w:jc w:val="center"/>
                  </w:pPr>
                  <w:r>
                    <w:t xml:space="preserve">0.00</w:t>
                  </w:r>
                </w:p>
              </w:tc>
              <w:tc>
                <w:tcPr/>
                <w:p>
                  <w:pPr>
                    <w:pStyle w:val="Compact"/>
                    <w:jc w:val="left"/>
                    <w:jc w:val="center"/>
                  </w:pPr>
                  <w:r>
                    <w:t xml:space="preserve">0.04</w:t>
                  </w:r>
                </w:p>
              </w:tc>
              <w:tc>
                <w:tcPr/>
                <w:p>
                  <w:pPr>
                    <w:pStyle w:val="Compact"/>
                    <w:jc w:val="left"/>
                    <w:jc w:val="center"/>
                  </w:pPr>
                  <w:r>
                    <w:t xml:space="preserve">0.99</w:t>
                  </w:r>
                </w:p>
              </w:tc>
            </w:tr>
          </w:tbl>
          <w:bookmarkEnd w:id="96"/>
          <w:p/>
        </w:tc>
      </w:tr>
    </w:tbl>
    <w:p>
      <w:r>
        <w:br w:type="page"/>
      </w:r>
    </w:p>
    <w:bookmarkEnd w:id="97"/>
    <w:bookmarkEnd w:id="98"/>
    <w:bookmarkStart w:id="220" w:name="discussions"/>
    <w:p>
      <w:pPr>
        <w:pStyle w:val="Heading1"/>
      </w:pPr>
      <w:r>
        <w:t xml:space="preserve">Discussions</w:t>
      </w:r>
    </w:p>
    <w:p>
      <w:r>
        <w:br w:type="page"/>
      </w:r>
    </w:p>
    <w:bookmarkStart w:id="219" w:name="refs"/>
    <w:bookmarkStart w:id="100"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99">
        <w:r>
          <w:rPr>
            <w:rStyle w:val="Hyperlink"/>
          </w:rPr>
          <w:t xml:space="preserve">https://doi.org/10.1007/s13311-019-00814-4</w:t>
        </w:r>
      </w:hyperlink>
      <w:r>
        <w:t xml:space="preserve">.</w:t>
      </w:r>
    </w:p>
    <w:bookmarkEnd w:id="100"/>
    <w:bookmarkStart w:id="102"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101">
        <w:r>
          <w:rPr>
            <w:rStyle w:val="Hyperlink"/>
          </w:rPr>
          <w:t xml:space="preserve">https://doi.org/10.1093/jamia/ocy166</w:t>
        </w:r>
      </w:hyperlink>
      <w:r>
        <w:t xml:space="preserve">.</w:t>
      </w:r>
    </w:p>
    <w:bookmarkEnd w:id="102"/>
    <w:bookmarkStart w:id="104"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103">
        <w:r>
          <w:rPr>
            <w:rStyle w:val="Hyperlink"/>
          </w:rPr>
          <w:t xml:space="preserve">https://doi.org/10.1109/iCCECOME.2018.8658578</w:t>
        </w:r>
      </w:hyperlink>
      <w:r>
        <w:t xml:space="preserve">.</w:t>
      </w:r>
    </w:p>
    <w:bookmarkEnd w:id="104"/>
    <w:bookmarkStart w:id="106"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105">
        <w:r>
          <w:rPr>
            <w:rStyle w:val="Hyperlink"/>
          </w:rPr>
          <w:t xml:space="preserve">https://doi.org/10.1016/j.addbeh.2018.11.008</w:t>
        </w:r>
      </w:hyperlink>
      <w:r>
        <w:t xml:space="preserve">.</w:t>
      </w:r>
    </w:p>
    <w:bookmarkEnd w:id="106"/>
    <w:bookmarkStart w:id="108"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107">
        <w:r>
          <w:rPr>
            <w:rStyle w:val="Hyperlink"/>
          </w:rPr>
          <w:t xml:space="preserve">https://doi.org/10.1016/j.addbeh.2017.11.039</w:t>
        </w:r>
      </w:hyperlink>
      <w:r>
        <w:t xml:space="preserve">.</w:t>
      </w:r>
    </w:p>
    <w:bookmarkEnd w:id="108"/>
    <w:bookmarkStart w:id="110"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109">
        <w:r>
          <w:rPr>
            <w:rStyle w:val="Hyperlink"/>
          </w:rPr>
          <w:t xml:space="preserve">https://doi.org/10.2196/31877</w:t>
        </w:r>
      </w:hyperlink>
      <w:r>
        <w:t xml:space="preserve">.</w:t>
      </w:r>
    </w:p>
    <w:bookmarkEnd w:id="110"/>
    <w:bookmarkStart w:id="112"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111">
        <w:r>
          <w:rPr>
            <w:rStyle w:val="Hyperlink"/>
          </w:rPr>
          <w:t xml:space="preserve">https://doi.org/10.1016/0306-4603(89)90060-9</w:t>
        </w:r>
      </w:hyperlink>
      <w:r>
        <w:t xml:space="preserve">.</w:t>
      </w:r>
    </w:p>
    <w:bookmarkEnd w:id="112"/>
    <w:bookmarkStart w:id="114"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13">
        <w:r>
          <w:rPr>
            <w:rStyle w:val="Hyperlink"/>
          </w:rPr>
          <w:t xml:space="preserve">https://doi.org/10.3389/fpsyt.2019.00344</w:t>
        </w:r>
      </w:hyperlink>
      <w:r>
        <w:t xml:space="preserve">.</w:t>
      </w:r>
    </w:p>
    <w:bookmarkEnd w:id="114"/>
    <w:bookmarkStart w:id="116"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15">
        <w:r>
          <w:rPr>
            <w:rStyle w:val="Hyperlink"/>
          </w:rPr>
          <w:t xml:space="preserve">https://doi.org/10.1007/s40429-018-0192-0</w:t>
        </w:r>
      </w:hyperlink>
      <w:r>
        <w:t xml:space="preserve">.</w:t>
      </w:r>
    </w:p>
    <w:bookmarkEnd w:id="116"/>
    <w:bookmarkStart w:id="118"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17">
        <w:r>
          <w:rPr>
            <w:rStyle w:val="Hyperlink"/>
          </w:rPr>
          <w:t xml:space="preserve">https://doi.org/10.1016/j.jsat.2013.08.004</w:t>
        </w:r>
      </w:hyperlink>
      <w:r>
        <w:t xml:space="preserve">.</w:t>
      </w:r>
    </w:p>
    <w:bookmarkEnd w:id="118"/>
    <w:bookmarkStart w:id="120"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19">
        <w:r>
          <w:rPr>
            <w:rStyle w:val="Hyperlink"/>
          </w:rPr>
          <w:t xml:space="preserve">https://doi.org/10.1016/j.cpr.2005.11.004</w:t>
        </w:r>
      </w:hyperlink>
      <w:r>
        <w:t xml:space="preserve">.</w:t>
      </w:r>
    </w:p>
    <w:bookmarkEnd w:id="120"/>
    <w:bookmarkStart w:id="122"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21">
        <w:r>
          <w:rPr>
            <w:rStyle w:val="Hyperlink"/>
          </w:rPr>
          <w:t xml:space="preserve">https://doi.org/10.1016/j.psychres.2018.06.031</w:t>
        </w:r>
      </w:hyperlink>
      <w:r>
        <w:t xml:space="preserve">.</w:t>
      </w:r>
    </w:p>
    <w:bookmarkEnd w:id="122"/>
    <w:bookmarkStart w:id="124"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23">
        <w:r>
          <w:rPr>
            <w:rStyle w:val="Hyperlink"/>
          </w:rPr>
          <w:t xml:space="preserve">https://doi.org/10.1080/01612840.2016.1257076</w:t>
        </w:r>
      </w:hyperlink>
      <w:r>
        <w:t xml:space="preserve">.</w:t>
      </w:r>
    </w:p>
    <w:bookmarkEnd w:id="124"/>
    <w:bookmarkStart w:id="126"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25">
        <w:r>
          <w:rPr>
            <w:rStyle w:val="Hyperlink"/>
          </w:rPr>
          <w:t xml:space="preserve">https://doi.org/10.1016/j.comppsych.2015.05.010</w:t>
        </w:r>
      </w:hyperlink>
      <w:r>
        <w:t xml:space="preserve">.</w:t>
      </w:r>
    </w:p>
    <w:bookmarkEnd w:id="126"/>
    <w:bookmarkStart w:id="128"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27">
        <w:r>
          <w:rPr>
            <w:rStyle w:val="Hyperlink"/>
          </w:rPr>
          <w:t xml:space="preserve">https://doi.org/10.1186/s13690-023-01085-4</w:t>
        </w:r>
      </w:hyperlink>
      <w:r>
        <w:t xml:space="preserve">.</w:t>
      </w:r>
    </w:p>
    <w:bookmarkEnd w:id="128"/>
    <w:bookmarkStart w:id="130"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29">
        <w:r>
          <w:rPr>
            <w:rStyle w:val="Hyperlink"/>
          </w:rPr>
          <w:t xml:space="preserve">https://doi.org/10.1111/acer.13965</w:t>
        </w:r>
      </w:hyperlink>
      <w:r>
        <w:t xml:space="preserve">.</w:t>
      </w:r>
    </w:p>
    <w:bookmarkEnd w:id="130"/>
    <w:bookmarkStart w:id="132"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31">
        <w:r>
          <w:rPr>
            <w:rStyle w:val="Hyperlink"/>
          </w:rPr>
          <w:t xml:space="preserve">https://doi.org/10.1097/ADM.0000000000000918</w:t>
        </w:r>
      </w:hyperlink>
      <w:r>
        <w:t xml:space="preserve">.</w:t>
      </w:r>
    </w:p>
    <w:bookmarkEnd w:id="132"/>
    <w:bookmarkStart w:id="134"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33">
        <w:r>
          <w:rPr>
            <w:rStyle w:val="Hyperlink"/>
          </w:rPr>
          <w:t xml:space="preserve">https://doi.org/10.1001/jamapsychiatry.2013.4642</w:t>
        </w:r>
      </w:hyperlink>
      <w:r>
        <w:t xml:space="preserve">.</w:t>
      </w:r>
    </w:p>
    <w:bookmarkEnd w:id="134"/>
    <w:bookmarkStart w:id="136"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35">
        <w:r>
          <w:rPr>
            <w:rStyle w:val="Hyperlink"/>
          </w:rPr>
          <w:t xml:space="preserve">https://doi.org/10.1016/s0741-8329(98)00065-2</w:t>
        </w:r>
      </w:hyperlink>
      <w:r>
        <w:t xml:space="preserve">.</w:t>
      </w:r>
    </w:p>
    <w:bookmarkEnd w:id="136"/>
    <w:bookmarkStart w:id="138"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37">
        <w:r>
          <w:rPr>
            <w:rStyle w:val="Hyperlink"/>
          </w:rPr>
          <w:t xml:space="preserve">https://doi.org/10.1016/j.ajp.2016.08.003</w:t>
        </w:r>
      </w:hyperlink>
      <w:r>
        <w:t xml:space="preserve">.</w:t>
      </w:r>
    </w:p>
    <w:bookmarkEnd w:id="138"/>
    <w:bookmarkStart w:id="140"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39">
        <w:r>
          <w:rPr>
            <w:rStyle w:val="Hyperlink"/>
          </w:rPr>
          <w:t xml:space="preserve">https://doi.org/10.1111/j.1475-6773.2006.00612.x</w:t>
        </w:r>
      </w:hyperlink>
      <w:r>
        <w:t xml:space="preserve">.</w:t>
      </w:r>
    </w:p>
    <w:bookmarkEnd w:id="140"/>
    <w:bookmarkStart w:id="142"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41">
        <w:r>
          <w:rPr>
            <w:rStyle w:val="Hyperlink"/>
          </w:rPr>
          <w:t xml:space="preserve">https://doi.org/10.1016/B978-0-323-90045-4.00005-8</w:t>
        </w:r>
      </w:hyperlink>
      <w:r>
        <w:t xml:space="preserve">.</w:t>
      </w:r>
    </w:p>
    <w:bookmarkEnd w:id="142"/>
    <w:bookmarkStart w:id="144"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43">
        <w:r>
          <w:rPr>
            <w:rStyle w:val="Hyperlink"/>
          </w:rPr>
          <w:t xml:space="preserve">https://doi.org/10.1046/j.1360-0443.91.12s1.4.x</w:t>
        </w:r>
      </w:hyperlink>
      <w:r>
        <w:t xml:space="preserve">.</w:t>
      </w:r>
    </w:p>
    <w:bookmarkEnd w:id="144"/>
    <w:bookmarkStart w:id="146"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45">
        <w:r>
          <w:rPr>
            <w:rStyle w:val="Hyperlink"/>
          </w:rPr>
          <w:t xml:space="preserve">https://doi.org/10.1007/s00127-013-0740-9</w:t>
        </w:r>
      </w:hyperlink>
      <w:r>
        <w:t xml:space="preserve">.</w:t>
      </w:r>
    </w:p>
    <w:bookmarkEnd w:id="146"/>
    <w:bookmarkStart w:id="147"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47"/>
    <w:bookmarkStart w:id="149"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48">
        <w:r>
          <w:rPr>
            <w:rStyle w:val="Hyperlink"/>
          </w:rPr>
          <w:t xml:space="preserve">https://doi.org/10.2196/17458</w:t>
        </w:r>
      </w:hyperlink>
      <w:r>
        <w:t xml:space="preserve">.</w:t>
      </w:r>
    </w:p>
    <w:bookmarkEnd w:id="149"/>
    <w:bookmarkStart w:id="151"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50">
        <w:r>
          <w:rPr>
            <w:rStyle w:val="Hyperlink"/>
          </w:rPr>
          <w:t xml:space="preserve">https://doi.org/10.1109/JAS.2023.123015</w:t>
        </w:r>
      </w:hyperlink>
      <w:r>
        <w:t xml:space="preserve">.</w:t>
      </w:r>
    </w:p>
    <w:bookmarkEnd w:id="151"/>
    <w:bookmarkStart w:id="153"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52">
        <w:r>
          <w:rPr>
            <w:rStyle w:val="Hyperlink"/>
          </w:rPr>
          <w:t xml:space="preserve">https://doi.org/10.1046/j.1360-0443.91.12s1.16.x</w:t>
        </w:r>
      </w:hyperlink>
      <w:r>
        <w:t xml:space="preserve">.</w:t>
      </w:r>
    </w:p>
    <w:bookmarkEnd w:id="153"/>
    <w:bookmarkStart w:id="154"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54"/>
    <w:bookmarkStart w:id="156"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55">
        <w:r>
          <w:rPr>
            <w:rStyle w:val="Hyperlink"/>
          </w:rPr>
          <w:t xml:space="preserve">https://doi.org/10.1016/j.drugalcdep.2018.03.016</w:t>
        </w:r>
      </w:hyperlink>
      <w:r>
        <w:t xml:space="preserve">.</w:t>
      </w:r>
    </w:p>
    <w:bookmarkEnd w:id="156"/>
    <w:bookmarkStart w:id="158"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57">
        <w:r>
          <w:rPr>
            <w:rStyle w:val="Hyperlink"/>
          </w:rPr>
          <w:t xml:space="preserve">https://doi.org/10.1046/j.1360-0443.91.12s1.15.x</w:t>
        </w:r>
      </w:hyperlink>
      <w:r>
        <w:t xml:space="preserve">.</w:t>
      </w:r>
    </w:p>
    <w:bookmarkEnd w:id="158"/>
    <w:bookmarkStart w:id="159"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59"/>
    <w:bookmarkStart w:id="161"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60">
        <w:r>
          <w:rPr>
            <w:rStyle w:val="Hyperlink"/>
          </w:rPr>
          <w:t xml:space="preserve">https://doi.org/10.4303/jdar/236083</w:t>
        </w:r>
      </w:hyperlink>
      <w:r>
        <w:t xml:space="preserve">.</w:t>
      </w:r>
    </w:p>
    <w:bookmarkEnd w:id="161"/>
    <w:bookmarkStart w:id="163"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62">
        <w:r>
          <w:rPr>
            <w:rStyle w:val="Hyperlink"/>
          </w:rPr>
          <w:t xml:space="preserve">https://doi.org/10.15288/jsa.1999.60.566</w:t>
        </w:r>
      </w:hyperlink>
      <w:r>
        <w:t xml:space="preserve">.</w:t>
      </w:r>
    </w:p>
    <w:bookmarkEnd w:id="163"/>
    <w:bookmarkStart w:id="165"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64">
        <w:r>
          <w:rPr>
            <w:rStyle w:val="Hyperlink"/>
          </w:rPr>
          <w:t xml:space="preserve">https://doi.org/10.1016/j.cpr.2005.11.002</w:t>
        </w:r>
      </w:hyperlink>
      <w:r>
        <w:t xml:space="preserve">.</w:t>
      </w:r>
    </w:p>
    <w:bookmarkEnd w:id="165"/>
    <w:bookmarkStart w:id="167"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166">
        <w:r>
          <w:rPr>
            <w:rStyle w:val="Hyperlink"/>
          </w:rPr>
          <w:t xml:space="preserve">https://doi.org/10.1111/add.15771</w:t>
        </w:r>
      </w:hyperlink>
      <w:r>
        <w:t xml:space="preserve">.</w:t>
      </w:r>
    </w:p>
    <w:bookmarkEnd w:id="167"/>
    <w:bookmarkStart w:id="169"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168">
        <w:r>
          <w:rPr>
            <w:rStyle w:val="Hyperlink"/>
          </w:rPr>
          <w:t xml:space="preserve">https://doi.org/10.1046/j.1360-0443.91.12s1.6.x</w:t>
        </w:r>
      </w:hyperlink>
      <w:r>
        <w:t xml:space="preserve">.</w:t>
      </w:r>
    </w:p>
    <w:bookmarkEnd w:id="169"/>
    <w:bookmarkStart w:id="171"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170">
        <w:r>
          <w:rPr>
            <w:rStyle w:val="Hyperlink"/>
          </w:rPr>
          <w:t xml:space="preserve">https://doi.org/10.1186/s13722-023-00387-w</w:t>
        </w:r>
      </w:hyperlink>
      <w:r>
        <w:t xml:space="preserve">.</w:t>
      </w:r>
    </w:p>
    <w:bookmarkEnd w:id="171"/>
    <w:bookmarkStart w:id="172"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172"/>
    <w:bookmarkStart w:id="173"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173"/>
    <w:bookmarkStart w:id="174"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174"/>
    <w:bookmarkStart w:id="176"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175">
        <w:r>
          <w:rPr>
            <w:rStyle w:val="Hyperlink"/>
          </w:rPr>
          <w:t xml:space="preserve">https://doi.org/10.1093/tbm/ibab048</w:t>
        </w:r>
      </w:hyperlink>
      <w:r>
        <w:t xml:space="preserve">.</w:t>
      </w:r>
    </w:p>
    <w:bookmarkEnd w:id="176"/>
    <w:bookmarkStart w:id="178"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177">
        <w:r>
          <w:rPr>
            <w:rStyle w:val="Hyperlink"/>
          </w:rPr>
          <w:t xml:space="preserve">https://doi.org/10.2196/35159</w:t>
        </w:r>
      </w:hyperlink>
      <w:r>
        <w:t xml:space="preserve">.</w:t>
      </w:r>
    </w:p>
    <w:bookmarkEnd w:id="178"/>
    <w:bookmarkStart w:id="180"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179">
        <w:r>
          <w:rPr>
            <w:rStyle w:val="Hyperlink"/>
          </w:rPr>
          <w:t xml:space="preserve">https://doi.org/10.1016/j.jad.2020.05.067</w:t>
        </w:r>
      </w:hyperlink>
      <w:r>
        <w:t xml:space="preserve">.</w:t>
      </w:r>
    </w:p>
    <w:bookmarkEnd w:id="180"/>
    <w:bookmarkStart w:id="182"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181">
        <w:r>
          <w:rPr>
            <w:rStyle w:val="Hyperlink"/>
          </w:rPr>
          <w:t xml:space="preserve">https://doi.org/10.1186/s13011-015-0028-z</w:t>
        </w:r>
      </w:hyperlink>
      <w:r>
        <w:t xml:space="preserve">.</w:t>
      </w:r>
    </w:p>
    <w:bookmarkEnd w:id="182"/>
    <w:bookmarkStart w:id="184"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183">
        <w:r>
          <w:rPr>
            <w:rStyle w:val="Hyperlink"/>
          </w:rPr>
          <w:t xml:space="preserve">https://doi.org/10.1016/j.amepre.2015.05.031</w:t>
        </w:r>
      </w:hyperlink>
      <w:r>
        <w:t xml:space="preserve">.</w:t>
      </w:r>
    </w:p>
    <w:bookmarkEnd w:id="184"/>
    <w:bookmarkStart w:id="186"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185">
        <w:r>
          <w:rPr>
            <w:rStyle w:val="Hyperlink"/>
          </w:rPr>
          <w:t xml:space="preserve">https://doi.org/10.1176/appi.ps.201400160</w:t>
        </w:r>
      </w:hyperlink>
      <w:r>
        <w:t xml:space="preserve">.</w:t>
      </w:r>
    </w:p>
    <w:bookmarkEnd w:id="186"/>
    <w:bookmarkStart w:id="188"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187">
        <w:r>
          <w:rPr>
            <w:rStyle w:val="Hyperlink"/>
          </w:rPr>
          <w:t xml:space="preserve">https://doi.org/10.1016/j.jsat.2004.09.006</w:t>
        </w:r>
      </w:hyperlink>
      <w:r>
        <w:t xml:space="preserve">.</w:t>
      </w:r>
    </w:p>
    <w:bookmarkEnd w:id="188"/>
    <w:bookmarkStart w:id="190"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189">
        <w:r>
          <w:rPr>
            <w:rStyle w:val="Hyperlink"/>
          </w:rPr>
          <w:t xml:space="preserve">https://doi.org/10.1097/CLD.0000000000000026</w:t>
        </w:r>
      </w:hyperlink>
      <w:r>
        <w:t xml:space="preserve">.</w:t>
      </w:r>
    </w:p>
    <w:bookmarkEnd w:id="190"/>
    <w:bookmarkStart w:id="192"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191">
        <w:r>
          <w:rPr>
            <w:rStyle w:val="Hyperlink"/>
          </w:rPr>
          <w:t xml:space="preserve">https://doi.org/10.1046/j.1360-0443.91.12s1.20.x</w:t>
        </w:r>
      </w:hyperlink>
      <w:r>
        <w:t xml:space="preserve">.</w:t>
      </w:r>
    </w:p>
    <w:bookmarkEnd w:id="192"/>
    <w:bookmarkStart w:id="194"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193">
        <w:r>
          <w:rPr>
            <w:rStyle w:val="Hyperlink"/>
          </w:rPr>
          <w:t xml:space="preserve">https://doi.org/10.1177/0261927X09351676</w:t>
        </w:r>
      </w:hyperlink>
      <w:r>
        <w:t xml:space="preserve">.</w:t>
      </w:r>
    </w:p>
    <w:bookmarkEnd w:id="194"/>
    <w:bookmarkStart w:id="196"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195">
        <w:r>
          <w:rPr>
            <w:rStyle w:val="Hyperlink"/>
          </w:rPr>
          <w:t xml:space="preserve">https://doi.org/10.1016/j.alcohol.2019.09.008</w:t>
        </w:r>
      </w:hyperlink>
      <w:r>
        <w:t xml:space="preserve">.</w:t>
      </w:r>
    </w:p>
    <w:bookmarkEnd w:id="196"/>
    <w:bookmarkStart w:id="198"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197">
        <w:r>
          <w:rPr>
            <w:rStyle w:val="Hyperlink"/>
          </w:rPr>
          <w:t xml:space="preserve">https://doi.org/10.3233/SHTI190386</w:t>
        </w:r>
      </w:hyperlink>
      <w:r>
        <w:t xml:space="preserve">.</w:t>
      </w:r>
    </w:p>
    <w:bookmarkEnd w:id="198"/>
    <w:bookmarkStart w:id="200"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199">
        <w:r>
          <w:rPr>
            <w:rStyle w:val="Hyperlink"/>
          </w:rPr>
          <w:t xml:space="preserve">https://doi.org/10.3390/jcm9020322</w:t>
        </w:r>
      </w:hyperlink>
      <w:r>
        <w:t xml:space="preserve">.</w:t>
      </w:r>
    </w:p>
    <w:bookmarkEnd w:id="200"/>
    <w:bookmarkStart w:id="202"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201">
        <w:r>
          <w:rPr>
            <w:rStyle w:val="Hyperlink"/>
          </w:rPr>
          <w:t xml:space="preserve">https://doi.org/10.1016/j.jsat.2016.12.013</w:t>
        </w:r>
      </w:hyperlink>
      <w:r>
        <w:t xml:space="preserve">.</w:t>
      </w:r>
    </w:p>
    <w:bookmarkEnd w:id="202"/>
    <w:bookmarkStart w:id="204"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203">
        <w:r>
          <w:rPr>
            <w:rStyle w:val="Hyperlink"/>
          </w:rPr>
          <w:t xml:space="preserve">https://doi.org/10.1111/acer.15222</w:t>
        </w:r>
      </w:hyperlink>
      <w:r>
        <w:t xml:space="preserve">.</w:t>
      </w:r>
    </w:p>
    <w:bookmarkEnd w:id="204"/>
    <w:bookmarkStart w:id="206"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205">
        <w:r>
          <w:rPr>
            <w:rStyle w:val="Hyperlink"/>
          </w:rPr>
          <w:t xml:space="preserve">https://doi.org/10.3109/10826084.2014.891616</w:t>
        </w:r>
      </w:hyperlink>
      <w:r>
        <w:t xml:space="preserve">.</w:t>
      </w:r>
    </w:p>
    <w:bookmarkEnd w:id="206"/>
    <w:bookmarkStart w:id="208"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207">
        <w:r>
          <w:rPr>
            <w:rStyle w:val="Hyperlink"/>
          </w:rPr>
          <w:t xml:space="preserve">https://doi.org/10.1007/s11606-017-4202-z</w:t>
        </w:r>
      </w:hyperlink>
      <w:r>
        <w:t xml:space="preserve">.</w:t>
      </w:r>
    </w:p>
    <w:bookmarkEnd w:id="208"/>
    <w:bookmarkStart w:id="210"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209">
        <w:r>
          <w:rPr>
            <w:rStyle w:val="Hyperlink"/>
          </w:rPr>
          <w:t xml:space="preserve">https://doi.org/10.1037/0003-066X.59.4.224</w:t>
        </w:r>
      </w:hyperlink>
      <w:r>
        <w:t xml:space="preserve">.</w:t>
      </w:r>
    </w:p>
    <w:bookmarkEnd w:id="210"/>
    <w:bookmarkStart w:id="212"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211">
        <w:r>
          <w:rPr>
            <w:rStyle w:val="Hyperlink"/>
          </w:rPr>
          <w:t xml:space="preserve">https://doi.org/10.1016/j.cpr.2007.01.002</w:t>
        </w:r>
      </w:hyperlink>
      <w:r>
        <w:t xml:space="preserve">.</w:t>
      </w:r>
    </w:p>
    <w:bookmarkEnd w:id="212"/>
    <w:bookmarkStart w:id="214"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13">
        <w:r>
          <w:rPr>
            <w:rStyle w:val="Hyperlink"/>
          </w:rPr>
          <w:t xml:space="preserve">https://doi.org/10.2196/41833</w:t>
        </w:r>
      </w:hyperlink>
      <w:r>
        <w:t xml:space="preserve">.</w:t>
      </w:r>
    </w:p>
    <w:bookmarkEnd w:id="214"/>
    <w:bookmarkStart w:id="216"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15">
        <w:r>
          <w:rPr>
            <w:rStyle w:val="Hyperlink"/>
          </w:rPr>
          <w:t xml:space="preserve">https://doi.org/10.1037/abn0000901</w:t>
        </w:r>
      </w:hyperlink>
      <w:r>
        <w:t xml:space="preserve">.</w:t>
      </w:r>
    </w:p>
    <w:bookmarkEnd w:id="216"/>
    <w:bookmarkStart w:id="218"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17">
        <w:r>
          <w:rPr>
            <w:rStyle w:val="Hyperlink"/>
          </w:rPr>
          <w:t xml:space="preserve">https://doi.org/10.1111/jrh.12293</w:t>
        </w:r>
      </w:hyperlink>
      <w:r>
        <w:t xml:space="preserve">.</w:t>
      </w:r>
    </w:p>
    <w:bookmarkEnd w:id="218"/>
    <w:bookmarkEnd w:id="219"/>
    <w:bookmarkEnd w:id="2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47" Target="media/rId47.png" /><Relationship Type="http://schemas.openxmlformats.org/officeDocument/2006/relationships/image" Id="rId68" Target="media/rId68.png" /><Relationship Type="http://schemas.openxmlformats.org/officeDocument/2006/relationships/image" Id="rId63" Target="media/rId63.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91" Target="media/rId91.png" /><Relationship Type="http://schemas.openxmlformats.org/officeDocument/2006/relationships/hyperlink" Id="rId133" Target="https://doi.org/10.1001/jamapsychiatry.2013.4642" TargetMode="External" /><Relationship Type="http://schemas.openxmlformats.org/officeDocument/2006/relationships/hyperlink" Id="rId145" Target="https://doi.org/10.1007/s00127-013-0740-9" TargetMode="External" /><Relationship Type="http://schemas.openxmlformats.org/officeDocument/2006/relationships/hyperlink" Id="rId207" Target="https://doi.org/10.1007/s11606-017-4202-z" TargetMode="External" /><Relationship Type="http://schemas.openxmlformats.org/officeDocument/2006/relationships/hyperlink" Id="rId99" Target="https://doi.org/10.1007/s13311-019-00814-4" TargetMode="External" /><Relationship Type="http://schemas.openxmlformats.org/officeDocument/2006/relationships/hyperlink" Id="rId115" Target="https://doi.org/10.1007/s40429-018-0192-0" TargetMode="External" /><Relationship Type="http://schemas.openxmlformats.org/officeDocument/2006/relationships/hyperlink" Id="rId111" Target="https://doi.org/10.1016/0306-4603(89)90060-9" TargetMode="External" /><Relationship Type="http://schemas.openxmlformats.org/officeDocument/2006/relationships/hyperlink" Id="rId141" Target="https://doi.org/10.1016/B978-0-323-90045-4.00005-8" TargetMode="External" /><Relationship Type="http://schemas.openxmlformats.org/officeDocument/2006/relationships/hyperlink" Id="rId107" Target="https://doi.org/10.1016/j.addbeh.2017.11.039" TargetMode="External" /><Relationship Type="http://schemas.openxmlformats.org/officeDocument/2006/relationships/hyperlink" Id="rId105" Target="https://doi.org/10.1016/j.addbeh.2018.11.008" TargetMode="External" /><Relationship Type="http://schemas.openxmlformats.org/officeDocument/2006/relationships/hyperlink" Id="rId137" Target="https://doi.org/10.1016/j.ajp.2016.08.003" TargetMode="External" /><Relationship Type="http://schemas.openxmlformats.org/officeDocument/2006/relationships/hyperlink" Id="rId195" Target="https://doi.org/10.1016/j.alcohol.2019.09.008" TargetMode="External" /><Relationship Type="http://schemas.openxmlformats.org/officeDocument/2006/relationships/hyperlink" Id="rId183" Target="https://doi.org/10.1016/j.amepre.2015.05.031" TargetMode="External" /><Relationship Type="http://schemas.openxmlformats.org/officeDocument/2006/relationships/hyperlink" Id="rId125" Target="https://doi.org/10.1016/j.comppsych.2015.05.010" TargetMode="External" /><Relationship Type="http://schemas.openxmlformats.org/officeDocument/2006/relationships/hyperlink" Id="rId164" Target="https://doi.org/10.1016/j.cpr.2005.11.002" TargetMode="External" /><Relationship Type="http://schemas.openxmlformats.org/officeDocument/2006/relationships/hyperlink" Id="rId119" Target="https://doi.org/10.1016/j.cpr.2005.11.004" TargetMode="External" /><Relationship Type="http://schemas.openxmlformats.org/officeDocument/2006/relationships/hyperlink" Id="rId211" Target="https://doi.org/10.1016/j.cpr.2007.01.002" TargetMode="External" /><Relationship Type="http://schemas.openxmlformats.org/officeDocument/2006/relationships/hyperlink" Id="rId155" Target="https://doi.org/10.1016/j.drugalcdep.2018.03.016" TargetMode="External" /><Relationship Type="http://schemas.openxmlformats.org/officeDocument/2006/relationships/hyperlink" Id="rId179" Target="https://doi.org/10.1016/j.jad.2020.05.067" TargetMode="External" /><Relationship Type="http://schemas.openxmlformats.org/officeDocument/2006/relationships/hyperlink" Id="rId187" Target="https://doi.org/10.1016/j.jsat.2004.09.006" TargetMode="External" /><Relationship Type="http://schemas.openxmlformats.org/officeDocument/2006/relationships/hyperlink" Id="rId117" Target="https://doi.org/10.1016/j.jsat.2013.08.004" TargetMode="External" /><Relationship Type="http://schemas.openxmlformats.org/officeDocument/2006/relationships/hyperlink" Id="rId201" Target="https://doi.org/10.1016/j.jsat.2016.12.013" TargetMode="External" /><Relationship Type="http://schemas.openxmlformats.org/officeDocument/2006/relationships/hyperlink" Id="rId121" Target="https://doi.org/10.1016/j.psychres.2018.06.031" TargetMode="External" /><Relationship Type="http://schemas.openxmlformats.org/officeDocument/2006/relationships/hyperlink" Id="rId135" Target="https://doi.org/10.1016/s0741-8329(98)00065-2" TargetMode="External" /><Relationship Type="http://schemas.openxmlformats.org/officeDocument/2006/relationships/hyperlink" Id="rId209" Target="https://doi.org/10.1037/0003-066X.59.4.224" TargetMode="External" /><Relationship Type="http://schemas.openxmlformats.org/officeDocument/2006/relationships/hyperlink" Id="rId215" Target="https://doi.org/10.1037/abn0000901" TargetMode="External" /><Relationship Type="http://schemas.openxmlformats.org/officeDocument/2006/relationships/hyperlink" Id="rId157" Target="https://doi.org/10.1046/j.1360-0443.91.12s1.15.x" TargetMode="External" /><Relationship Type="http://schemas.openxmlformats.org/officeDocument/2006/relationships/hyperlink" Id="rId152" Target="https://doi.org/10.1046/j.1360-0443.91.12s1.16.x" TargetMode="External" /><Relationship Type="http://schemas.openxmlformats.org/officeDocument/2006/relationships/hyperlink" Id="rId191" Target="https://doi.org/10.1046/j.1360-0443.91.12s1.20.x" TargetMode="External" /><Relationship Type="http://schemas.openxmlformats.org/officeDocument/2006/relationships/hyperlink" Id="rId143" Target="https://doi.org/10.1046/j.1360-0443.91.12s1.4.x" TargetMode="External" /><Relationship Type="http://schemas.openxmlformats.org/officeDocument/2006/relationships/hyperlink" Id="rId168" Target="https://doi.org/10.1046/j.1360-0443.91.12s1.6.x" TargetMode="External" /><Relationship Type="http://schemas.openxmlformats.org/officeDocument/2006/relationships/hyperlink" Id="rId123" Target="https://doi.org/10.1080/01612840.2016.1257076" TargetMode="External" /><Relationship Type="http://schemas.openxmlformats.org/officeDocument/2006/relationships/hyperlink" Id="rId101" Target="https://doi.org/10.1093/jamia/ocy166" TargetMode="External" /><Relationship Type="http://schemas.openxmlformats.org/officeDocument/2006/relationships/hyperlink" Id="rId175" Target="https://doi.org/10.1093/tbm/ibab048" TargetMode="External" /><Relationship Type="http://schemas.openxmlformats.org/officeDocument/2006/relationships/hyperlink" Id="rId131" Target="https://doi.org/10.1097/ADM.0000000000000918" TargetMode="External" /><Relationship Type="http://schemas.openxmlformats.org/officeDocument/2006/relationships/hyperlink" Id="rId189" Target="https://doi.org/10.1097/CLD.0000000000000026" TargetMode="External" /><Relationship Type="http://schemas.openxmlformats.org/officeDocument/2006/relationships/hyperlink" Id="rId150" Target="https://doi.org/10.1109/JAS.2023.123015" TargetMode="External" /><Relationship Type="http://schemas.openxmlformats.org/officeDocument/2006/relationships/hyperlink" Id="rId103" Target="https://doi.org/10.1109/iCCECOME.2018.8658578" TargetMode="External" /><Relationship Type="http://schemas.openxmlformats.org/officeDocument/2006/relationships/hyperlink" Id="rId129" Target="https://doi.org/10.1111/acer.13965" TargetMode="External" /><Relationship Type="http://schemas.openxmlformats.org/officeDocument/2006/relationships/hyperlink" Id="rId203" Target="https://doi.org/10.1111/acer.15222" TargetMode="External" /><Relationship Type="http://schemas.openxmlformats.org/officeDocument/2006/relationships/hyperlink" Id="rId166" Target="https://doi.org/10.1111/add.15771" TargetMode="External" /><Relationship Type="http://schemas.openxmlformats.org/officeDocument/2006/relationships/hyperlink" Id="rId139" Target="https://doi.org/10.1111/j.1475-6773.2006.00612.x" TargetMode="External" /><Relationship Type="http://schemas.openxmlformats.org/officeDocument/2006/relationships/hyperlink" Id="rId217" Target="https://doi.org/10.1111/jrh.12293" TargetMode="External" /><Relationship Type="http://schemas.openxmlformats.org/officeDocument/2006/relationships/hyperlink" Id="rId185" Target="https://doi.org/10.1176/appi.ps.201400160" TargetMode="External" /><Relationship Type="http://schemas.openxmlformats.org/officeDocument/2006/relationships/hyperlink" Id="rId193" Target="https://doi.org/10.1177/0261927X09351676" TargetMode="External" /><Relationship Type="http://schemas.openxmlformats.org/officeDocument/2006/relationships/hyperlink" Id="rId181" Target="https://doi.org/10.1186/s13011-015-0028-z" TargetMode="External" /><Relationship Type="http://schemas.openxmlformats.org/officeDocument/2006/relationships/hyperlink" Id="rId127" Target="https://doi.org/10.1186/s13690-023-01085-4" TargetMode="External" /><Relationship Type="http://schemas.openxmlformats.org/officeDocument/2006/relationships/hyperlink" Id="rId170" Target="https://doi.org/10.1186/s13722-023-00387-w" TargetMode="External" /><Relationship Type="http://schemas.openxmlformats.org/officeDocument/2006/relationships/hyperlink" Id="rId162" Target="https://doi.org/10.15288/jsa.1999.60.566" TargetMode="External" /><Relationship Type="http://schemas.openxmlformats.org/officeDocument/2006/relationships/hyperlink" Id="rId148" Target="https://doi.org/10.2196/17458" TargetMode="External" /><Relationship Type="http://schemas.openxmlformats.org/officeDocument/2006/relationships/hyperlink" Id="rId109" Target="https://doi.org/10.2196/31877" TargetMode="External" /><Relationship Type="http://schemas.openxmlformats.org/officeDocument/2006/relationships/hyperlink" Id="rId177" Target="https://doi.org/10.2196/35159" TargetMode="External" /><Relationship Type="http://schemas.openxmlformats.org/officeDocument/2006/relationships/hyperlink" Id="rId213" Target="https://doi.org/10.2196/41833" TargetMode="External" /><Relationship Type="http://schemas.openxmlformats.org/officeDocument/2006/relationships/hyperlink" Id="rId205" Target="https://doi.org/10.3109/10826084.2014.891616" TargetMode="External" /><Relationship Type="http://schemas.openxmlformats.org/officeDocument/2006/relationships/hyperlink" Id="rId197" Target="https://doi.org/10.3233/SHTI190386" TargetMode="External" /><Relationship Type="http://schemas.openxmlformats.org/officeDocument/2006/relationships/hyperlink" Id="rId113" Target="https://doi.org/10.3389/fpsyt.2019.00344" TargetMode="External" /><Relationship Type="http://schemas.openxmlformats.org/officeDocument/2006/relationships/hyperlink" Id="rId199" Target="https://doi.org/10.3390/jcm9020322" TargetMode="External" /><Relationship Type="http://schemas.openxmlformats.org/officeDocument/2006/relationships/hyperlink" Id="rId160"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79" Target="https://jjcurtin.github.io/study_messages/notebooks/auROC_plot-preview.html#cell-fig-auroc" TargetMode="External" /><Relationship Type="http://schemas.openxmlformats.org/officeDocument/2006/relationships/hyperlink" Id="rId84" Target="https://jjcurtin.github.io/study_messages/notebooks/auROC_plot-preview.html#cell-fig-auroc_hist" TargetMode="External" /><Relationship Type="http://schemas.openxmlformats.org/officeDocument/2006/relationships/hyperlink" Id="rId89" Target="https://jjcurtin.github.io/study_messages/notebooks/auROC_plot-preview.html#cell-fig-auroc_posterior" TargetMode="External" /><Relationship Type="http://schemas.openxmlformats.org/officeDocument/2006/relationships/hyperlink" Id="rId51" Target="https://jjcurtin.github.io/study_messages/notebooks/eda_demographics-preview.html#cell-fig-demographics" TargetMode="External" /><Relationship Type="http://schemas.openxmlformats.org/officeDocument/2006/relationships/hyperlink" Id="rId72" Target="https://jjcurtin.github.io/study_messages/notebooks/eda_messages-preview.html#cell-fig-1week" TargetMode="External" /><Relationship Type="http://schemas.openxmlformats.org/officeDocument/2006/relationships/hyperlink" Id="rId67" Target="https://jjcurtin.github.io/study_messages/notebooks/eda_messages-preview.html#cell-fig-3day" TargetMode="External" /><Relationship Type="http://schemas.openxmlformats.org/officeDocument/2006/relationships/hyperlink" Id="rId57" Target="https://jjcurtin.github.io/study_messages/notebooks/eda_messages-preview.html#cell-fig-lapse_count" TargetMode="External" /><Relationship Type="http://schemas.openxmlformats.org/officeDocument/2006/relationships/hyperlink" Id="rId62" Target="https://jjcurtin.github.io/study_messages/notebooks/eda_messages-preview.html#cell-fig-raw" TargetMode="External" /><Relationship Type="http://schemas.openxmlformats.org/officeDocument/2006/relationships/hyperlink" Id="rId95" Target="https://jjcurtin.github.io/study_messages/notebooks/fairness-preview.html#cell-fig-fairness" TargetMode="External" /></Relationships>
</file>

<file path=word/_rels/footnotes.xml.rels><?xml version="1.0" encoding="UTF-8"?><Relationships xmlns="http://schemas.openxmlformats.org/package/2006/relationships"><Relationship Type="http://schemas.openxmlformats.org/officeDocument/2006/relationships/hyperlink" Id="rId133" Target="https://doi.org/10.1001/jamapsychiatry.2013.4642" TargetMode="External" /><Relationship Type="http://schemas.openxmlformats.org/officeDocument/2006/relationships/hyperlink" Id="rId145" Target="https://doi.org/10.1007/s00127-013-0740-9" TargetMode="External" /><Relationship Type="http://schemas.openxmlformats.org/officeDocument/2006/relationships/hyperlink" Id="rId207" Target="https://doi.org/10.1007/s11606-017-4202-z" TargetMode="External" /><Relationship Type="http://schemas.openxmlformats.org/officeDocument/2006/relationships/hyperlink" Id="rId99" Target="https://doi.org/10.1007/s13311-019-00814-4" TargetMode="External" /><Relationship Type="http://schemas.openxmlformats.org/officeDocument/2006/relationships/hyperlink" Id="rId115" Target="https://doi.org/10.1007/s40429-018-0192-0" TargetMode="External" /><Relationship Type="http://schemas.openxmlformats.org/officeDocument/2006/relationships/hyperlink" Id="rId111" Target="https://doi.org/10.1016/0306-4603(89)90060-9" TargetMode="External" /><Relationship Type="http://schemas.openxmlformats.org/officeDocument/2006/relationships/hyperlink" Id="rId141" Target="https://doi.org/10.1016/B978-0-323-90045-4.00005-8" TargetMode="External" /><Relationship Type="http://schemas.openxmlformats.org/officeDocument/2006/relationships/hyperlink" Id="rId107" Target="https://doi.org/10.1016/j.addbeh.2017.11.039" TargetMode="External" /><Relationship Type="http://schemas.openxmlformats.org/officeDocument/2006/relationships/hyperlink" Id="rId105" Target="https://doi.org/10.1016/j.addbeh.2018.11.008" TargetMode="External" /><Relationship Type="http://schemas.openxmlformats.org/officeDocument/2006/relationships/hyperlink" Id="rId137" Target="https://doi.org/10.1016/j.ajp.2016.08.003" TargetMode="External" /><Relationship Type="http://schemas.openxmlformats.org/officeDocument/2006/relationships/hyperlink" Id="rId195" Target="https://doi.org/10.1016/j.alcohol.2019.09.008" TargetMode="External" /><Relationship Type="http://schemas.openxmlformats.org/officeDocument/2006/relationships/hyperlink" Id="rId183" Target="https://doi.org/10.1016/j.amepre.2015.05.031" TargetMode="External" /><Relationship Type="http://schemas.openxmlformats.org/officeDocument/2006/relationships/hyperlink" Id="rId125" Target="https://doi.org/10.1016/j.comppsych.2015.05.010" TargetMode="External" /><Relationship Type="http://schemas.openxmlformats.org/officeDocument/2006/relationships/hyperlink" Id="rId164" Target="https://doi.org/10.1016/j.cpr.2005.11.002" TargetMode="External" /><Relationship Type="http://schemas.openxmlformats.org/officeDocument/2006/relationships/hyperlink" Id="rId119" Target="https://doi.org/10.1016/j.cpr.2005.11.004" TargetMode="External" /><Relationship Type="http://schemas.openxmlformats.org/officeDocument/2006/relationships/hyperlink" Id="rId211" Target="https://doi.org/10.1016/j.cpr.2007.01.002" TargetMode="External" /><Relationship Type="http://schemas.openxmlformats.org/officeDocument/2006/relationships/hyperlink" Id="rId155" Target="https://doi.org/10.1016/j.drugalcdep.2018.03.016" TargetMode="External" /><Relationship Type="http://schemas.openxmlformats.org/officeDocument/2006/relationships/hyperlink" Id="rId179" Target="https://doi.org/10.1016/j.jad.2020.05.067" TargetMode="External" /><Relationship Type="http://schemas.openxmlformats.org/officeDocument/2006/relationships/hyperlink" Id="rId187" Target="https://doi.org/10.1016/j.jsat.2004.09.006" TargetMode="External" /><Relationship Type="http://schemas.openxmlformats.org/officeDocument/2006/relationships/hyperlink" Id="rId117" Target="https://doi.org/10.1016/j.jsat.2013.08.004" TargetMode="External" /><Relationship Type="http://schemas.openxmlformats.org/officeDocument/2006/relationships/hyperlink" Id="rId201" Target="https://doi.org/10.1016/j.jsat.2016.12.013" TargetMode="External" /><Relationship Type="http://schemas.openxmlformats.org/officeDocument/2006/relationships/hyperlink" Id="rId121" Target="https://doi.org/10.1016/j.psychres.2018.06.031" TargetMode="External" /><Relationship Type="http://schemas.openxmlformats.org/officeDocument/2006/relationships/hyperlink" Id="rId135" Target="https://doi.org/10.1016/s0741-8329(98)00065-2" TargetMode="External" /><Relationship Type="http://schemas.openxmlformats.org/officeDocument/2006/relationships/hyperlink" Id="rId209" Target="https://doi.org/10.1037/0003-066X.59.4.224" TargetMode="External" /><Relationship Type="http://schemas.openxmlformats.org/officeDocument/2006/relationships/hyperlink" Id="rId215" Target="https://doi.org/10.1037/abn0000901" TargetMode="External" /><Relationship Type="http://schemas.openxmlformats.org/officeDocument/2006/relationships/hyperlink" Id="rId157" Target="https://doi.org/10.1046/j.1360-0443.91.12s1.15.x" TargetMode="External" /><Relationship Type="http://schemas.openxmlformats.org/officeDocument/2006/relationships/hyperlink" Id="rId152" Target="https://doi.org/10.1046/j.1360-0443.91.12s1.16.x" TargetMode="External" /><Relationship Type="http://schemas.openxmlformats.org/officeDocument/2006/relationships/hyperlink" Id="rId191" Target="https://doi.org/10.1046/j.1360-0443.91.12s1.20.x" TargetMode="External" /><Relationship Type="http://schemas.openxmlformats.org/officeDocument/2006/relationships/hyperlink" Id="rId143" Target="https://doi.org/10.1046/j.1360-0443.91.12s1.4.x" TargetMode="External" /><Relationship Type="http://schemas.openxmlformats.org/officeDocument/2006/relationships/hyperlink" Id="rId168" Target="https://doi.org/10.1046/j.1360-0443.91.12s1.6.x" TargetMode="External" /><Relationship Type="http://schemas.openxmlformats.org/officeDocument/2006/relationships/hyperlink" Id="rId123" Target="https://doi.org/10.1080/01612840.2016.1257076" TargetMode="External" /><Relationship Type="http://schemas.openxmlformats.org/officeDocument/2006/relationships/hyperlink" Id="rId101" Target="https://doi.org/10.1093/jamia/ocy166" TargetMode="External" /><Relationship Type="http://schemas.openxmlformats.org/officeDocument/2006/relationships/hyperlink" Id="rId175" Target="https://doi.org/10.1093/tbm/ibab048" TargetMode="External" /><Relationship Type="http://schemas.openxmlformats.org/officeDocument/2006/relationships/hyperlink" Id="rId131" Target="https://doi.org/10.1097/ADM.0000000000000918" TargetMode="External" /><Relationship Type="http://schemas.openxmlformats.org/officeDocument/2006/relationships/hyperlink" Id="rId189" Target="https://doi.org/10.1097/CLD.0000000000000026" TargetMode="External" /><Relationship Type="http://schemas.openxmlformats.org/officeDocument/2006/relationships/hyperlink" Id="rId150" Target="https://doi.org/10.1109/JAS.2023.123015" TargetMode="External" /><Relationship Type="http://schemas.openxmlformats.org/officeDocument/2006/relationships/hyperlink" Id="rId103" Target="https://doi.org/10.1109/iCCECOME.2018.8658578" TargetMode="External" /><Relationship Type="http://schemas.openxmlformats.org/officeDocument/2006/relationships/hyperlink" Id="rId129" Target="https://doi.org/10.1111/acer.13965" TargetMode="External" /><Relationship Type="http://schemas.openxmlformats.org/officeDocument/2006/relationships/hyperlink" Id="rId203" Target="https://doi.org/10.1111/acer.15222" TargetMode="External" /><Relationship Type="http://schemas.openxmlformats.org/officeDocument/2006/relationships/hyperlink" Id="rId166" Target="https://doi.org/10.1111/add.15771" TargetMode="External" /><Relationship Type="http://schemas.openxmlformats.org/officeDocument/2006/relationships/hyperlink" Id="rId139" Target="https://doi.org/10.1111/j.1475-6773.2006.00612.x" TargetMode="External" /><Relationship Type="http://schemas.openxmlformats.org/officeDocument/2006/relationships/hyperlink" Id="rId217" Target="https://doi.org/10.1111/jrh.12293" TargetMode="External" /><Relationship Type="http://schemas.openxmlformats.org/officeDocument/2006/relationships/hyperlink" Id="rId185" Target="https://doi.org/10.1176/appi.ps.201400160" TargetMode="External" /><Relationship Type="http://schemas.openxmlformats.org/officeDocument/2006/relationships/hyperlink" Id="rId193" Target="https://doi.org/10.1177/0261927X09351676" TargetMode="External" /><Relationship Type="http://schemas.openxmlformats.org/officeDocument/2006/relationships/hyperlink" Id="rId181" Target="https://doi.org/10.1186/s13011-015-0028-z" TargetMode="External" /><Relationship Type="http://schemas.openxmlformats.org/officeDocument/2006/relationships/hyperlink" Id="rId127" Target="https://doi.org/10.1186/s13690-023-01085-4" TargetMode="External" /><Relationship Type="http://schemas.openxmlformats.org/officeDocument/2006/relationships/hyperlink" Id="rId170" Target="https://doi.org/10.1186/s13722-023-00387-w" TargetMode="External" /><Relationship Type="http://schemas.openxmlformats.org/officeDocument/2006/relationships/hyperlink" Id="rId162" Target="https://doi.org/10.15288/jsa.1999.60.566" TargetMode="External" /><Relationship Type="http://schemas.openxmlformats.org/officeDocument/2006/relationships/hyperlink" Id="rId148" Target="https://doi.org/10.2196/17458" TargetMode="External" /><Relationship Type="http://schemas.openxmlformats.org/officeDocument/2006/relationships/hyperlink" Id="rId109" Target="https://doi.org/10.2196/31877" TargetMode="External" /><Relationship Type="http://schemas.openxmlformats.org/officeDocument/2006/relationships/hyperlink" Id="rId177" Target="https://doi.org/10.2196/35159" TargetMode="External" /><Relationship Type="http://schemas.openxmlformats.org/officeDocument/2006/relationships/hyperlink" Id="rId213" Target="https://doi.org/10.2196/41833" TargetMode="External" /><Relationship Type="http://schemas.openxmlformats.org/officeDocument/2006/relationships/hyperlink" Id="rId205" Target="https://doi.org/10.3109/10826084.2014.891616" TargetMode="External" /><Relationship Type="http://schemas.openxmlformats.org/officeDocument/2006/relationships/hyperlink" Id="rId197" Target="https://doi.org/10.3233/SHTI190386" TargetMode="External" /><Relationship Type="http://schemas.openxmlformats.org/officeDocument/2006/relationships/hyperlink" Id="rId113" Target="https://doi.org/10.3389/fpsyt.2019.00344" TargetMode="External" /><Relationship Type="http://schemas.openxmlformats.org/officeDocument/2006/relationships/hyperlink" Id="rId199" Target="https://doi.org/10.3390/jcm9020322" TargetMode="External" /><Relationship Type="http://schemas.openxmlformats.org/officeDocument/2006/relationships/hyperlink" Id="rId160"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79" Target="https://jjcurtin.github.io/study_messages/notebooks/auROC_plot-preview.html#cell-fig-auroc" TargetMode="External" /><Relationship Type="http://schemas.openxmlformats.org/officeDocument/2006/relationships/hyperlink" Id="rId84" Target="https://jjcurtin.github.io/study_messages/notebooks/auROC_plot-preview.html#cell-fig-auroc_hist" TargetMode="External" /><Relationship Type="http://schemas.openxmlformats.org/officeDocument/2006/relationships/hyperlink" Id="rId89" Target="https://jjcurtin.github.io/study_messages/notebooks/auROC_plot-preview.html#cell-fig-auroc_posterior" TargetMode="External" /><Relationship Type="http://schemas.openxmlformats.org/officeDocument/2006/relationships/hyperlink" Id="rId51" Target="https://jjcurtin.github.io/study_messages/notebooks/eda_demographics-preview.html#cell-fig-demographics" TargetMode="External" /><Relationship Type="http://schemas.openxmlformats.org/officeDocument/2006/relationships/hyperlink" Id="rId72" Target="https://jjcurtin.github.io/study_messages/notebooks/eda_messages-preview.html#cell-fig-1week" TargetMode="External" /><Relationship Type="http://schemas.openxmlformats.org/officeDocument/2006/relationships/hyperlink" Id="rId67" Target="https://jjcurtin.github.io/study_messages/notebooks/eda_messages-preview.html#cell-fig-3day" TargetMode="External" /><Relationship Type="http://schemas.openxmlformats.org/officeDocument/2006/relationships/hyperlink" Id="rId57" Target="https://jjcurtin.github.io/study_messages/notebooks/eda_messages-preview.html#cell-fig-lapse_count" TargetMode="External" /><Relationship Type="http://schemas.openxmlformats.org/officeDocument/2006/relationships/hyperlink" Id="rId62" Target="https://jjcurtin.github.io/study_messages/notebooks/eda_messages-preview.html#cell-fig-raw" TargetMode="External" /><Relationship Type="http://schemas.openxmlformats.org/officeDocument/2006/relationships/hyperlink" Id="rId95" Target="https://jjcurtin.github.io/study_messages/notebooks/fairness-preview.html#cell-fig-fair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Text Messages to Predict Near Real-Time Alcohol Lapse in AUD Patients</dc:title>
  <dc:creator>Coco Yu; John J. Curtin</dc:creator>
  <cp:keywords/>
  <dcterms:created xsi:type="dcterms:W3CDTF">2024-10-17T19:15:29Z</dcterms:created>
  <dcterms:modified xsi:type="dcterms:W3CDTF">2024-10-17T19:15:29Z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messages.bib</vt:lpwstr>
  </property>
  <property fmtid="{D5CDD505-2E9C-101B-9397-08002B2CF9AE}" pid="5" name="by-author">
    <vt:lpwstr/>
  </property>
  <property fmtid="{D5CDD505-2E9C-101B-9397-08002B2CF9AE}" pid="6" name="clear-hidden-classes">
    <vt:lpwstr>none</vt:lpwstr>
  </property>
  <property fmtid="{D5CDD505-2E9C-101B-9397-08002B2CF9AE}" pid="7" name="date">
    <vt:lpwstr>2024-10-17</vt:lpwstr>
  </property>
  <property fmtid="{D5CDD505-2E9C-101B-9397-08002B2CF9AE}" pid="8" name="editor_option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quarto-internal">
    <vt:lpwstr/>
  </property>
  <property fmtid="{D5CDD505-2E9C-101B-9397-08002B2CF9AE}" pid="18" name="remove-hidden">
    <vt:lpwstr>all</vt:lpwstr>
  </property>
  <property fmtid="{D5CDD505-2E9C-101B-9397-08002B2CF9AE}" pid="19" name="template-partials">
    <vt:lpwstr/>
  </property>
  <property fmtid="{D5CDD505-2E9C-101B-9397-08002B2CF9AE}" pid="20" name="theme">
    <vt:lpwstr>cosmo</vt:lpwstr>
  </property>
  <property fmtid="{D5CDD505-2E9C-101B-9397-08002B2CF9AE}" pid="21" name="title-block-style">
    <vt:lpwstr>manuscript</vt:lpwstr>
  </property>
  <property fmtid="{D5CDD505-2E9C-101B-9397-08002B2CF9AE}" pid="22" name="toc-title">
    <vt:lpwstr>Table of contents</vt:lpwstr>
  </property>
  <property fmtid="{D5CDD505-2E9C-101B-9397-08002B2CF9AE}" pid="23" name="unroll-markdown-cells">
    <vt:lpwstr>True</vt:lpwstr>
  </property>
</Properties>
</file>