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2026-04-19</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for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[14]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[17]</w:t>
      </w:r>
      <w:r>
        <w:t xml:space="preserve">, and psychiatric symptoms</w:t>
      </w:r>
      <w:r>
        <w:t xml:space="preserve"> </w:t>
      </w:r>
      <w:r>
        <w:t xml:space="preserve">[16,18]</w:t>
      </w:r>
      <w:r>
        <w:t xml:space="preserve">). At the intake visit, approximately two weeks after screening, we collected additional self-report data on abstinence self-efficacy</w:t>
      </w:r>
      <w:r>
        <w:t xml:space="preserve"> </w:t>
      </w:r>
      <w:r>
        <w:t xml:space="preserve">[19]</w:t>
      </w:r>
      <w:r>
        <w:t xml:space="preserve">, craving</w:t>
      </w:r>
      <w:r>
        <w:t xml:space="preserve"> </w:t>
      </w:r>
      <w:r>
        <w:t xml:space="preserve">[20]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 We reported the median posterior auROC and 95% CI for each model. We also specified two sets of contrasts for model comparisons: full model vs. baseline model and cellular communication model vs. a hypothetical model performing at chance (i.e., where auROC’s are 0.5 in all 30 test sets).</w:t>
      </w:r>
    </w:p>
    <w:p>
      <w:pPr>
        <w:pStyle w:val="BodyText"/>
      </w:pPr>
      <w:r>
        <w:t xml:space="preserve">We refit our full and cellular communication models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 We plotted coefficients for both models to visualize whether descriptive differences in retained cellular communication features existed when controlling for other baseline features compared to not controlling for baseline features.</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[0.66, 0.71]).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There was strong evidence that this model is performing above chance performance (100% probability) and thus capturing some signal in the data. 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[21]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[22]</w:t>
      </w:r>
      <w:r>
        <w:t xml:space="preserve"> </w:t>
      </w:r>
      <w:r>
        <w:t xml:space="preserve">and predict future</w:t>
      </w:r>
      <w:r>
        <w:t xml:space="preserve"> </w:t>
      </w:r>
      <w:r>
        <w:t xml:space="preserve">[23]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81" w:name="references"/>
    <w:p>
      <w:pPr>
        <w:pStyle w:val="Heading1"/>
      </w:pPr>
      <w:r>
        <w:t xml:space="preserve">References</w:t>
      </w:r>
    </w:p>
    <w:bookmarkStart w:id="80"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126aebe61d5329fdf5f31356b05d81ee3379203"/>
    <w:p>
      <w:pPr>
        <w:pStyle w:val="Bibliography"/>
      </w:pPr>
      <w:r>
        <w:t xml:space="preserve">14.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62">
        <w:r>
          <w:rPr>
            <w:rStyle w:val="Hyperlink"/>
          </w:rPr>
          <w:t xml:space="preserve">10.1038/s41562-019-0772-6</w:t>
        </w:r>
      </w:hyperlink>
    </w:p>
    <w:bookmarkEnd w:id="63"/>
    <w:bookmarkStart w:id="64" w:name="ref-hsiehSampleSizeTables1989"/>
    <w:p>
      <w:pPr>
        <w:pStyle w:val="Bibliography"/>
      </w:pPr>
      <w:r>
        <w:t xml:space="preserve">15.</w:t>
      </w:r>
      <w:r>
        <w:t xml:space="preserve"> </w:t>
      </w:r>
      <w:r>
        <w:t xml:space="preserve">	</w:t>
      </w:r>
      <w:r>
        <w:t xml:space="preserve">Hsieh F. Sample size tables for logistic regression. Statistics in Medicine. 1989;8: 795–802.</w:t>
      </w:r>
      <w:r>
        <w:t xml:space="preserve"> </w:t>
      </w:r>
    </w:p>
    <w:bookmarkEnd w:id="64"/>
    <w:bookmarkStart w:id="65" w:name="ref-derogatislBriefSymptomInventory"/>
    <w:p>
      <w:pPr>
        <w:pStyle w:val="Bibliography"/>
      </w:pPr>
      <w:r>
        <w:t xml:space="preserve">16.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65"/>
    <w:bookmarkStart w:id="67" w:name="X88039606d7b5c64f85ee8ea71703c6bdc3d9351"/>
    <w:p>
      <w:pPr>
        <w:pStyle w:val="Bibliography"/>
      </w:pPr>
      <w:r>
        <w:t xml:space="preserve">17.</w:t>
      </w:r>
      <w:r>
        <w:t xml:space="preserve"> </w:t>
      </w:r>
      <w:r>
        <w:t xml:space="preserve">	</w:t>
      </w:r>
      <w:r>
        <w:t xml:space="preserve">Patrick CJ, Curtin JJ, Tellegen A.</w:t>
      </w:r>
      <w:r>
        <w:t xml:space="preserve"> </w:t>
      </w:r>
      <w:hyperlink r:id="rId66">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67"/>
    <w:bookmarkStart w:id="69" w:name="X7237f3e8ec0394639ac33af78d4502788e325cb"/>
    <w:p>
      <w:pPr>
        <w:pStyle w:val="Bibliography"/>
      </w:pPr>
      <w:r>
        <w:t xml:space="preserve">18.</w:t>
      </w:r>
      <w:r>
        <w:t xml:space="preserve"> </w:t>
      </w:r>
      <w:r>
        <w:t xml:space="preserve">	</w:t>
      </w:r>
      <w:r>
        <w:t xml:space="preserve">Lovibond PF, Lovibond SH.</w:t>
      </w:r>
      <w:r>
        <w:t xml:space="preserve"> </w:t>
      </w:r>
      <w:hyperlink r:id="rId68">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69"/>
    <w:bookmarkStart w:id="71" w:name="Xcae8ce16b0973d3f8a23c89fe6ee90c012f333c"/>
    <w:p>
      <w:pPr>
        <w:pStyle w:val="Bibliography"/>
      </w:pPr>
      <w:r>
        <w:t xml:space="preserve">19.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70">
        <w:r>
          <w:rPr>
            <w:rStyle w:val="Hyperlink"/>
          </w:rPr>
          <w:t xml:space="preserve">10.1080/1533256X.2011.593445</w:t>
        </w:r>
      </w:hyperlink>
    </w:p>
    <w:bookmarkEnd w:id="71"/>
    <w:bookmarkStart w:id="73" w:name="X72fdb242290119aefa439c46cdcc18630f6c0fa"/>
    <w:p>
      <w:pPr>
        <w:pStyle w:val="Bibliography"/>
      </w:pPr>
      <w:r>
        <w:t xml:space="preserve">20.</w:t>
      </w:r>
      <w:r>
        <w:t xml:space="preserve"> </w:t>
      </w:r>
      <w:r>
        <w:t xml:space="preserve">	</w:t>
      </w:r>
      <w:r>
        <w:t xml:space="preserve">Flannery BA, Volpicelli JR, Pettinati HM.</w:t>
      </w:r>
      <w:r>
        <w:t xml:space="preserve"> </w:t>
      </w:r>
      <w:hyperlink r:id="rId72">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73"/>
    <w:bookmarkStart w:id="75" w:name="X948b064f539498125570f43a275c11fe3804a5f"/>
    <w:p>
      <w:pPr>
        <w:pStyle w:val="Bibliography"/>
      </w:pPr>
      <w:r>
        <w:t xml:space="preserve">21.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74">
        <w:r>
          <w:rPr>
            <w:rStyle w:val="Hyperlink"/>
          </w:rPr>
          <w:t xml:space="preserve">10.2147/PPA.S474535</w:t>
        </w:r>
      </w:hyperlink>
    </w:p>
    <w:bookmarkEnd w:id="75"/>
    <w:bookmarkStart w:id="77" w:name="ref-baeDetectingDrinkingEpisodes2017"/>
    <w:p>
      <w:pPr>
        <w:pStyle w:val="Bibliography"/>
      </w:pPr>
      <w:r>
        <w:t xml:space="preserve">22.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76">
        <w:r>
          <w:rPr>
            <w:rStyle w:val="Hyperlink"/>
          </w:rPr>
          <w:t xml:space="preserve">10.1145/3090051</w:t>
        </w:r>
      </w:hyperlink>
    </w:p>
    <w:bookmarkEnd w:id="77"/>
    <w:bookmarkStart w:id="79" w:name="ref-baeLeveragingMobilePhone2023"/>
    <w:p>
      <w:pPr>
        <w:pStyle w:val="Bibliography"/>
      </w:pPr>
      <w:r>
        <w:t xml:space="preserve">23.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78">
        <w:r>
          <w:rPr>
            <w:rStyle w:val="Hyperlink"/>
          </w:rPr>
          <w:t xml:space="preserve">10.2196/39862</w:t>
        </w:r>
      </w:hyperlink>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62" Target="https://doi.org/10.1038/s41562-019-0772-6" TargetMode="External" /><Relationship Type="http://schemas.openxmlformats.org/officeDocument/2006/relationships/hyperlink" Id="rId70"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76"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74" Target="https://doi.org/10.2147/PPA.S474535" TargetMode="External" /><Relationship Type="http://schemas.openxmlformats.org/officeDocument/2006/relationships/hyperlink" Id="rId78"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58" Target="https://doi.org/10/gfsjzg"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72" Target="https://www.ncbi.nlm.nih.gov/pubmed/10470970" TargetMode="External" /><Relationship Type="http://schemas.openxmlformats.org/officeDocument/2006/relationships/hyperlink" Id="rId66" Target="https://www.ncbi.nlm.nih.gov/pubmed/12056077" TargetMode="External" /><Relationship Type="http://schemas.openxmlformats.org/officeDocument/2006/relationships/hyperlink" Id="rId68"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62" Target="https://doi.org/10.1038/s41562-019-0772-6" TargetMode="External" /><Relationship Type="http://schemas.openxmlformats.org/officeDocument/2006/relationships/hyperlink" Id="rId70"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76"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74" Target="https://doi.org/10.2147/PPA.S474535" TargetMode="External" /><Relationship Type="http://schemas.openxmlformats.org/officeDocument/2006/relationships/hyperlink" Id="rId78"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58" Target="https://doi.org/10/gfsjzg"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72" Target="https://www.ncbi.nlm.nih.gov/pubmed/10470970" TargetMode="External" /><Relationship Type="http://schemas.openxmlformats.org/officeDocument/2006/relationships/hyperlink" Id="rId66" Target="https://www.ncbi.nlm.nih.gov/pubmed/12056077" TargetMode="External" /><Relationship Type="http://schemas.openxmlformats.org/officeDocument/2006/relationships/hyperlink" Id="rId68"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2026-04-19T12:01:56Z</dcterms:created>
  <dcterms:modified xsi:type="dcterms:W3CDTF">2026-04-19T12:01:56Z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2026-04-19</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