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2026-01-12</w:t>
      </w:r>
    </w:p>
    <w:p>
      <w:pPr>
        <w:pStyle w:val="AbstractTitle"/>
      </w:pPr>
      <w:r>
        <w:t xml:space="preserve">Abstract</w:t>
      </w:r>
    </w:p>
    <w:p>
      <w:pPr>
        <w:pStyle w:val="Abstract"/>
      </w:pPr>
      <w:r>
        <w:t xml:space="preserve">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t xml:space="preserve"> </w:t>
      </w:r>
      <w:r>
        <w:t xml:space="preserve">(Dennis &amp; Scott, 2007; McLellan et al., 2000; Rounsaville, 2010)</w:t>
      </w:r>
      <w:r>
        <w:t xml:space="preserve">. Lapses, single episodes of alcohol use, are among the strongest predictors (and a necessary precursor) for relapse, a full return to harmful drinking</w:t>
      </w:r>
      <w:r>
        <w:t xml:space="preserve"> </w:t>
      </w:r>
      <w:r>
        <w:t xml:space="preserve">(Marlatt &amp; Donovan, 2007; Marlatt &amp; Gordon, 1985)</w:t>
      </w:r>
      <w:r>
        <w:t xml:space="preserve">. While lapses can occur at any point in recovery, they are particularly risky during early recovery</w:t>
      </w:r>
      <w:r>
        <w:t xml:space="preserve"> </w:t>
      </w:r>
      <w:r>
        <w:t xml:space="preserve">(Daley &amp; Douaihy, 2019)</w:t>
      </w:r>
      <w:r>
        <w:t xml:space="preserve">. Protective coping mechanisms and socio-environmental resources that support recovery are dynamic and accumulate over time</w:t>
      </w:r>
      <w:r>
        <w:t xml:space="preserve"> </w:t>
      </w:r>
      <w:r>
        <w:t xml:space="preserve">(Cleveland et al., 2021)</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t xml:space="preserve"> </w:t>
      </w:r>
      <w:r>
        <w:t xml:space="preserve">(Mohr et al., 2017)</w:t>
      </w:r>
      <w:r>
        <w:t xml:space="preserve">. Early machine learning models using ecological momentary assessment (EMA) data have achieved excellent accuracy in predicting future lapses back to alcohol use in treatment seeking populations</w:t>
      </w:r>
      <w:r>
        <w:t xml:space="preserve"> </w:t>
      </w:r>
      <w:r>
        <w:t xml:space="preserve">(Chih et al., 2014; Wyant et al., 2024, under review)</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t xml:space="preserve"> </w:t>
      </w:r>
      <w:r>
        <w:t xml:space="preserve">(Jones et al., 2019; Wyant et al., 2023)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also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2"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t xml:space="preserve"> </w:t>
      </w:r>
      <w:r>
        <w:t xml:space="preserve">(Hurlbut &amp; Sher, 1992)</w:t>
      </w:r>
      <w:r>
        <w:t xml:space="preserve">, and presence of psychological symptoms</w:t>
      </w:r>
      <w:r>
        <w:t xml:space="preserve"> </w:t>
      </w:r>
      <w:r>
        <w:t xml:space="preserve">(Derogatis, L.R., 2000)</w:t>
      </w:r>
      <w:r>
        <w:t xml:space="preserve">). At intake we collected additional self-report data on abstinence self-efficacy</w:t>
      </w:r>
      <w:r>
        <w:t xml:space="preserve"> </w:t>
      </w:r>
      <w:r>
        <w:t xml:space="preserve">(McKiernan et al., 2011)</w:t>
      </w:r>
      <w:r>
        <w:t xml:space="preserve">, craving</w:t>
      </w:r>
      <w:r>
        <w:t xml:space="preserve"> </w:t>
      </w:r>
      <w:r>
        <w:t xml:space="preserve">(Flannery et al., 1999)</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Lapse reports were verified at follow-up visits using a timeline follow-back interview.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0" w:name="data-analysis-plan"/>
    <w:p>
      <w:pPr>
        <w:pStyle w:val="Heading2"/>
      </w:pPr>
      <w:r>
        <w:t xml:space="preserve">Data Analysis Plan</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pPr>
        <w:pStyle w:val="BodyText"/>
      </w:pPr>
      <w:r>
        <w:t xml:space="preserve">We filtered the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scoring epochs (6, 12, 24, 48, 72, and 168 hours before the start of the prediction window) to create features. Within each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rate count of text messages across all time on study subtracted from the rate count in the preceding 48 hours).</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and removing zero and near-zero variance features as determined from held-in data.</w:t>
      </w:r>
    </w:p>
    <w:p>
      <w:pPr>
        <w:pStyle w:val="BodyText"/>
      </w:pPr>
      <w:r>
        <w:t xml:space="preserve">Candidate model configurations differed by algorithm (elastic net, random forest, XGBoost), outcome resampling method,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test sets using weakly informative, data-dependent priors to regularize and reduce overfitting.</w:t>
      </w:r>
      <w:r>
        <w:rPr>
          <w:rStyle w:val="FootnoteReference"/>
        </w:rPr>
        <w:footnoteReference w:id="26"/>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7">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1"/>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bl>
          <w:p>
            <w:pPr>
              <w:jc w:val="center"/>
            </w:pPr>
            <w:pPr>
              <w:jc w:val="start"/>
              <w:spacing w:before="200"/>
              <w:pStyle w:val="ImageCaption"/>
            </w:pPr>
            <w:r>
              <w:t xml:space="preserve">Table 1: Feature Engineering of Raw Predictors</w:t>
            </w:r>
          </w:p>
          <w:bookmarkEnd w:id="28"/>
        </w:tc>
      </w:tr>
    </w:tbl>
    <w:p>
      <w:pPr>
        <w:pStyle w:val="BodyText"/>
      </w:pPr>
      <w:r>
        <w:rPr>
          <w:vertAlign w:val="subscript"/>
        </w:rPr>
        <w:t xml:space="preserve">Source:</w:t>
      </w:r>
      <w:r>
        <w:rPr>
          <w:vertAlign w:val="subscript"/>
        </w:rPr>
        <w:t xml:space="preserve"> </w:t>
      </w:r>
      <w:hyperlink r:id="rId29">
        <w:r>
          <w:rPr>
            <w:rStyle w:val="Hyperlink"/>
            <w:vertAlign w:val="subscript"/>
          </w:rPr>
          <w:t xml:space="preserve">Make All Tables for Main Manuscript</w:t>
        </w:r>
      </w:hyperlink>
    </w:p>
    <w:bookmarkEnd w:id="30"/>
    <w:bookmarkStart w:id="31"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 All participants provided written informed consent.</w:t>
      </w:r>
    </w:p>
    <w:bookmarkEnd w:id="31"/>
    <w:bookmarkEnd w:id="32"/>
    <w:bookmarkStart w:id="43" w:name="results"/>
    <w:p>
      <w:pPr>
        <w:pStyle w:val="Heading1"/>
      </w:pPr>
      <w:r>
        <w:t xml:space="preserve">Results</w:t>
      </w:r>
    </w:p>
    <w:bookmarkStart w:id="35"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Demographics</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Make All Tables for Main Manuscript</w:t>
        </w:r>
      </w:hyperlink>
    </w:p>
    <w:bookmarkEnd w:id="35"/>
    <w:bookmarkStart w:id="3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6"/>
    <w:bookmarkStart w:id="42"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1"/>
          <w:p>
            <w:pPr>
              <w:pStyle w:val="Compact"/>
              <w:jc w:val="center"/>
            </w:pPr>
            <w:r>
              <w:drawing>
                <wp:inline>
                  <wp:extent cx="5334000" cy="3810000"/>
                  <wp:effectExtent b="0" l="0" r="0" t="0"/>
                  <wp:docPr descr="" title="" id="38" name="Picture"/>
                  <a:graphic>
                    <a:graphicData uri="http://schemas.openxmlformats.org/drawingml/2006/picture">
                      <pic:pic>
                        <pic:nvPicPr>
                          <pic:cNvPr descr="index_files/figure-docx/notebooks-mak_figures-fig-1-output-1.png" id="39" name="Picture"/>
                          <pic:cNvPicPr>
                            <a:picLocks noChangeArrowheads="1" noChangeAspect="1"/>
                          </pic:cNvPicPr>
                        </pic:nvPicPr>
                        <pic:blipFill>
                          <a:blip r:embed="rId3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Figures for Main Manuscript</w:t>
        </w:r>
      </w:hyperlink>
    </w:p>
    <w:bookmarkEnd w:id="42"/>
    <w:bookmarkEnd w:id="43"/>
    <w:bookmarkStart w:id="79"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(McDowell et al., 2025)</w:t>
      </w:r>
      <w:r>
        <w:t xml:space="preserve">. Therefore, our dataset likely missed a substantial portion of participants’ communications. Notably, the communication features that were retained in the final model were scored over the longest scoring epochs (72 and 168 hours), suggesting that when more data are available (i.e., more communications) these features may be become more important.</w:t>
      </w:r>
      <w:r>
        <w:t xml:space="preserve"> </w:t>
      </w:r>
      <w:r>
        <w:t xml:space="preserve">Future studies could explore whether increasing communication data from these alternative platforms yield stronger predictive signals.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(S. Bae et al., 2017)</w:t>
      </w:r>
      <w:r>
        <w:t xml:space="preserve"> </w:t>
      </w:r>
      <w:r>
        <w:t xml:space="preserve">and predict future</w:t>
      </w:r>
      <w:r>
        <w:t xml:space="preserve"> </w:t>
      </w:r>
      <w:r>
        <w:t xml:space="preserve">(S. W. Bae et al., 2023)</w:t>
      </w:r>
      <w:r>
        <w:t xml:space="preserve"> </w:t>
      </w:r>
      <w:r>
        <w:t xml:space="preserve">heavy drinking episondes in non-treatment seeking young adult populations. However, even in these instances, the unique contribution of cellular communications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p>
      <w:r>
        <w:br w:type="page"/>
      </w:r>
    </w:p>
    <w:bookmarkStart w:id="78" w:name="refs"/>
    <w:bookmarkStart w:id="45"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44">
        <w:r>
          <w:rPr>
            <w:rStyle w:val="Hyperlink"/>
          </w:rPr>
          <w:t xml:space="preserve">https://doi.org/10.2196/39862</w:t>
        </w:r>
      </w:hyperlink>
    </w:p>
    <w:bookmarkEnd w:id="45"/>
    <w:bookmarkStart w:id="47" w:name="ref-baeDetectingDrinkingEpisodes2017"/>
    <w:p>
      <w:pPr>
        <w:pStyle w:val="Bibliography"/>
      </w:pPr>
      <w:r>
        <w:t xml:space="preserve">Bae, S., Ferreira, D., Suffoletto, B., Puyana, J. C., Kurtz, R., Chung, T., &amp; Dey, A. K. (2017). Detecting</w:t>
      </w:r>
      <w:r>
        <w:t xml:space="preserve"> </w:t>
      </w:r>
      <w:r>
        <w:t xml:space="preserve">Drinking Episodes</w:t>
      </w:r>
      <w:r>
        <w:t xml:space="preserve"> </w:t>
      </w:r>
      <w:r>
        <w:t xml:space="preserve">in</w:t>
      </w:r>
      <w:r>
        <w:t xml:space="preserve"> </w:t>
      </w:r>
      <w:r>
        <w:t xml:space="preserve">Young Adults Using Smartphone-based Sensors</w:t>
      </w:r>
      <w:r>
        <w:t xml:space="preserve">.</w:t>
      </w:r>
      <w:r>
        <w:t xml:space="preserve"> </w:t>
      </w:r>
      <w:r>
        <w:rPr>
          <w:i/>
          <w:iCs/>
        </w:rPr>
        <w:t xml:space="preserve">Proceedings of the ACM on Interactive, Mobile, Wearable and Ubiquitous Technologies</w:t>
      </w:r>
      <w:r>
        <w:t xml:space="preserve">,</w:t>
      </w:r>
      <w:r>
        <w:t xml:space="preserve"> </w:t>
      </w:r>
      <w:r>
        <w:rPr>
          <w:i/>
          <w:iCs/>
        </w:rPr>
        <w:t xml:space="preserve">1</w:t>
      </w:r>
      <w:r>
        <w:t xml:space="preserve">(2), 1–36.</w:t>
      </w:r>
      <w:r>
        <w:t xml:space="preserve"> </w:t>
      </w:r>
      <w:hyperlink r:id="rId46">
        <w:r>
          <w:rPr>
            <w:rStyle w:val="Hyperlink"/>
          </w:rPr>
          <w:t xml:space="preserve">https://doi.org/10.1145/3090051</w:t>
        </w:r>
      </w:hyperlink>
    </w:p>
    <w:bookmarkEnd w:id="47"/>
    <w:bookmarkStart w:id="49"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48">
        <w:r>
          <w:rPr>
            <w:rStyle w:val="Hyperlink"/>
          </w:rPr>
          <w:t xml:space="preserve">https://doi.org/10.1016/j.jsat.2013.08.004</w:t>
        </w:r>
      </w:hyperlink>
    </w:p>
    <w:bookmarkEnd w:id="49"/>
    <w:bookmarkStart w:id="51" w:name="ref-clevelandRecoveryRecoveryCapital2021"/>
    <w:p>
      <w:pPr>
        <w:pStyle w:val="Bibliography"/>
      </w:pPr>
      <w:r>
        <w:t xml:space="preserve">Cleveland, H. H., Brick, T. R., Knapp, K. S., &amp; Croff, J. M. (2021).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J. M. Croff &amp; J. Beaman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w:t>
      </w:r>
      <w:r>
        <w:t xml:space="preserve">(pp. 109–128). Springer International Publishing.</w:t>
      </w:r>
      <w:r>
        <w:t xml:space="preserve"> </w:t>
      </w:r>
      <w:hyperlink r:id="rId50">
        <w:r>
          <w:rPr>
            <w:rStyle w:val="Hyperlink"/>
          </w:rPr>
          <w:t xml:space="preserve">https://doi.org/10.1007/978-3-030-56958-7_6</w:t>
        </w:r>
      </w:hyperlink>
    </w:p>
    <w:bookmarkEnd w:id="51"/>
    <w:bookmarkStart w:id="53" w:name="ref-daleyReducingRiskRelapse2019"/>
    <w:p>
      <w:pPr>
        <w:pStyle w:val="Bibliography"/>
      </w:pPr>
      <w:r>
        <w:t xml:space="preserve">Daley, D. C., &amp; Douaihy, A. (2019). Reducing the</w:t>
      </w:r>
      <w:r>
        <w:t xml:space="preserve"> </w:t>
      </w:r>
      <w:r>
        <w:t xml:space="preserve">Risk</w:t>
      </w:r>
      <w:r>
        <w:t xml:space="preserve"> </w:t>
      </w:r>
      <w:r>
        <w:t xml:space="preserve">of</w:t>
      </w:r>
      <w:r>
        <w:t xml:space="preserve"> </w:t>
      </w:r>
      <w:r>
        <w:t xml:space="preserve">Relapse</w:t>
      </w:r>
      <w:r>
        <w:t xml:space="preserve">. In D. C. Daley, A. B. Douaihy, D. C. Daley, &amp; A. Douaihy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w:t>
      </w:r>
      <w:r>
        <w:t xml:space="preserve">(p. 0). Oxford University Press.</w:t>
      </w:r>
      <w:r>
        <w:t xml:space="preserve"> </w:t>
      </w:r>
      <w:hyperlink r:id="rId52">
        <w:r>
          <w:rPr>
            <w:rStyle w:val="Hyperlink"/>
          </w:rPr>
          <w:t xml:space="preserve">https://doi.org/10.1093/med-psych/9780190926717.003.0018</w:t>
        </w:r>
      </w:hyperlink>
    </w:p>
    <w:bookmarkEnd w:id="53"/>
    <w:bookmarkStart w:id="55" w:name="ref-dennisManagingAddictionChronic2007"/>
    <w:p>
      <w:pPr>
        <w:pStyle w:val="Bibliography"/>
      </w:pPr>
      <w:r>
        <w:t xml:space="preserve">Dennis, M., &amp; Scott, C. K. (2007).</w:t>
      </w:r>
      <w:r>
        <w:t xml:space="preserve"> </w:t>
      </w:r>
      <w:hyperlink r:id="rId5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55"/>
    <w:bookmarkStart w:id="56"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56"/>
    <w:bookmarkStart w:id="58" w:name="X72fdb242290119aefa439c46cdcc18630f6c0fa"/>
    <w:p>
      <w:pPr>
        <w:pStyle w:val="Bibliography"/>
      </w:pPr>
      <w:r>
        <w:t xml:space="preserve">Flannery, B. A., Volpicelli, J. R., &amp; Pettinati, H. M. (1999).</w:t>
      </w:r>
      <w:r>
        <w:t xml:space="preserve"> </w:t>
      </w:r>
      <w:hyperlink r:id="rId57">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w:t>
      </w:r>
      <w:r>
        <w:t xml:space="preserve"> </w:t>
      </w:r>
      <w:r>
        <w:rPr>
          <w:i/>
          <w:iCs/>
        </w:rPr>
        <w:t xml:space="preserve">23</w:t>
      </w:r>
      <w:r>
        <w:t xml:space="preserve">(8), 1289–1295.</w:t>
      </w:r>
    </w:p>
    <w:bookmarkEnd w:id="58"/>
    <w:bookmarkStart w:id="59" w:name="ref-hurlbutAssessingAlcoholProblems1992"/>
    <w:p>
      <w:pPr>
        <w:pStyle w:val="Bibliography"/>
      </w:pPr>
      <w:r>
        <w:t xml:space="preserve">Hurlbut, S. C., &amp; Sher, K. J. (1992). Assessing alcohol problems in college students.</w:t>
      </w:r>
      <w:r>
        <w:t xml:space="preserve"> </w:t>
      </w:r>
      <w:r>
        <w:rPr>
          <w:i/>
          <w:iCs/>
        </w:rPr>
        <w:t xml:space="preserve">Journal of American College Health.</w:t>
      </w:r>
      <w:r>
        <w:t xml:space="preserve">,</w:t>
      </w:r>
      <w:r>
        <w:t xml:space="preserve"> </w:t>
      </w:r>
      <w:r>
        <w:rPr>
          <w:i/>
          <w:iCs/>
        </w:rPr>
        <w:t xml:space="preserve">41</w:t>
      </w:r>
      <w:r>
        <w:t xml:space="preserve">(2), 49–58.</w:t>
      </w:r>
    </w:p>
    <w:bookmarkEnd w:id="59"/>
    <w:bookmarkStart w:id="61"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60">
        <w:r>
          <w:rPr>
            <w:rStyle w:val="Hyperlink"/>
          </w:rPr>
          <w:t xml:space="preserve">https://doi.org/10/gfsjzg</w:t>
        </w:r>
      </w:hyperlink>
    </w:p>
    <w:bookmarkEnd w:id="61"/>
    <w:bookmarkStart w:id="62"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62"/>
    <w:bookmarkStart w:id="63"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63"/>
    <w:bookmarkStart w:id="65" w:name="X948b064f539498125570f43a275c11fe3804a5f"/>
    <w:p>
      <w:pPr>
        <w:pStyle w:val="Bibliography"/>
      </w:pPr>
      <w:r>
        <w:t xml:space="preserve">McDowell, B., Dumais, K. M., Gary, S. T., de Gooijer, I., &amp; Ward, T. (2025).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w:t>
      </w:r>
      <w:r>
        <w:t xml:space="preserve"> </w:t>
      </w:r>
      <w:r>
        <w:rPr>
          <w:i/>
          <w:iCs/>
        </w:rPr>
        <w:t xml:space="preserve">Patient Preference and Adherence</w:t>
      </w:r>
      <w:r>
        <w:t xml:space="preserve">,</w:t>
      </w:r>
      <w:r>
        <w:t xml:space="preserve"> </w:t>
      </w:r>
      <w:r>
        <w:rPr>
          <w:i/>
          <w:iCs/>
        </w:rPr>
        <w:t xml:space="preserve">19</w:t>
      </w:r>
      <w:r>
        <w:t xml:space="preserve">, 255–263.</w:t>
      </w:r>
      <w:r>
        <w:t xml:space="preserve"> </w:t>
      </w:r>
      <w:hyperlink r:id="rId64">
        <w:r>
          <w:rPr>
            <w:rStyle w:val="Hyperlink"/>
          </w:rPr>
          <w:t xml:space="preserve">https://doi.org/10.2147/PPA.S474535</w:t>
        </w:r>
      </w:hyperlink>
    </w:p>
    <w:bookmarkEnd w:id="65"/>
    <w:bookmarkStart w:id="67" w:name="Xcae8ce16b0973d3f8a23c89fe6ee90c012f333c"/>
    <w:p>
      <w:pPr>
        <w:pStyle w:val="Bibliography"/>
      </w:pPr>
      <w:r>
        <w:t xml:space="preserve">McKiernan, P., Cloud, R., Patterson, D. A., Wolf, S., Golder, S., &amp; Besel, K. (2011). Development of a</w:t>
      </w:r>
      <w:r>
        <w:t xml:space="preserve"> </w:t>
      </w:r>
      <w:r>
        <w:t xml:space="preserve">Brief Abstinence Self-Efficacy Measure</w:t>
      </w:r>
      <w:r>
        <w:t xml:space="preserve">.</w:t>
      </w:r>
      <w:r>
        <w:t xml:space="preserve"> </w:t>
      </w:r>
      <w:r>
        <w:rPr>
          <w:i/>
          <w:iCs/>
        </w:rPr>
        <w:t xml:space="preserve">Journal of Social Work Practice in the Addictions</w:t>
      </w:r>
      <w:r>
        <w:t xml:space="preserve">,</w:t>
      </w:r>
      <w:r>
        <w:t xml:space="preserve"> </w:t>
      </w:r>
      <w:r>
        <w:rPr>
          <w:i/>
          <w:iCs/>
        </w:rPr>
        <w:t xml:space="preserve">11</w:t>
      </w:r>
      <w:r>
        <w:t xml:space="preserve">(3), 245–253.</w:t>
      </w:r>
      <w:r>
        <w:t xml:space="preserve"> </w:t>
      </w:r>
      <w:hyperlink r:id="rId66">
        <w:r>
          <w:rPr>
            <w:rStyle w:val="Hyperlink"/>
          </w:rPr>
          <w:t xml:space="preserve">https://doi.org/10.1080/1533256X.2011.593445</w:t>
        </w:r>
      </w:hyperlink>
    </w:p>
    <w:bookmarkEnd w:id="67"/>
    <w:bookmarkStart w:id="69"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68">
        <w:r>
          <w:rPr>
            <w:rStyle w:val="Hyperlink"/>
          </w:rPr>
          <w:t xml:space="preserve">https://doi.org/10.1001/jama.284.13.1689</w:t>
        </w:r>
      </w:hyperlink>
    </w:p>
    <w:bookmarkEnd w:id="69"/>
    <w:bookmarkStart w:id="71"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70">
        <w:r>
          <w:rPr>
            <w:rStyle w:val="Hyperlink"/>
          </w:rPr>
          <w:t xml:space="preserve">https://doi.org/10.1146/annurev-clinpsy-032816-044949</w:t>
        </w:r>
      </w:hyperlink>
    </w:p>
    <w:bookmarkEnd w:id="71"/>
    <w:bookmarkStart w:id="72" w:name="ref-rounsavilleLapseRelapseChasing2010"/>
    <w:p>
      <w:pPr>
        <w:pStyle w:val="Bibliography"/>
      </w:pPr>
      <w:r>
        <w:t xml:space="preserve">Rounsaville, D. B. (2010).</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w:t>
      </w:r>
      <w:r>
        <w:t xml:space="preserve">[PhD thesis]. University of Maryland, Baltimore County.</w:t>
      </w:r>
    </w:p>
    <w:bookmarkEnd w:id="72"/>
    <w:bookmarkStart w:id="73"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73"/>
    <w:bookmarkStart w:id="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74">
        <w:r>
          <w:rPr>
            <w:rStyle w:val="Hyperlink"/>
          </w:rPr>
          <w:t xml:space="preserve">https://doi.org/10.2196/41833</w:t>
        </w:r>
      </w:hyperlink>
    </w:p>
    <w:bookmarkEnd w:id="75"/>
    <w:bookmarkStart w:id="77" w:name="ref-wyantMachineLearningModels2024"/>
    <w:p>
      <w:pPr>
        <w:pStyle w:val="Bibliography"/>
      </w:pPr>
      <w:r>
        <w:t xml:space="preserve">Wyant, K., Sant’Ana, S. J., Fronk, G. E., &amp; Curtin, J. J. (2024). Machine learning models for temporally precise lapse prediction in alcohol use disorder.</w:t>
      </w:r>
      <w:r>
        <w:t xml:space="preserve"> </w:t>
      </w:r>
      <w:r>
        <w:rPr>
          <w:i/>
          <w:iCs/>
        </w:rPr>
        <w:t xml:space="preserve">Journal of Psychopathology and Clinical Science</w:t>
      </w:r>
      <w:r>
        <w:t xml:space="preserve">,</w:t>
      </w:r>
      <w:r>
        <w:t xml:space="preserve"> </w:t>
      </w:r>
      <w:r>
        <w:rPr>
          <w:i/>
          <w:iCs/>
        </w:rPr>
        <w:t xml:space="preserve">133</w:t>
      </w:r>
      <w:r>
        <w:t xml:space="preserve">(7), 527–540.</w:t>
      </w:r>
      <w:r>
        <w:t xml:space="preserve"> </w:t>
      </w:r>
      <w:hyperlink r:id="rId76">
        <w:r>
          <w:rPr>
            <w:rStyle w:val="Hyperlink"/>
          </w:rPr>
          <w:t xml:space="preserve">https://doi.org/10.1037/abn0000901</w:t>
        </w:r>
      </w:hyperlink>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t xml:space="preserve"> </w:t>
      </w:r>
      <w:r>
        <w:t xml:space="preserve">(Derogatis, L.R., 2000)</w:t>
      </w:r>
      <w:r>
        <w:t xml:space="preserve">.</w:t>
      </w:r>
    </w:p>
  </w:footnote>
  <w:footnote w:id="26">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1/jama.284.13.1689" TargetMode="External" /><Relationship Type="http://schemas.openxmlformats.org/officeDocument/2006/relationships/hyperlink" Id="rId50" Target="https://doi.org/10.1007/978-3-030-56958-7_6" TargetMode="External" /><Relationship Type="http://schemas.openxmlformats.org/officeDocument/2006/relationships/hyperlink" Id="rId48" Target="https://doi.org/10.1016/j.jsat.2013.08.004" TargetMode="External" /><Relationship Type="http://schemas.openxmlformats.org/officeDocument/2006/relationships/hyperlink" Id="rId76" Target="https://doi.org/10.1037/abn0000901" TargetMode="External" /><Relationship Type="http://schemas.openxmlformats.org/officeDocument/2006/relationships/hyperlink" Id="rId66" Target="https://doi.org/10.1080/1533256X.2011.593445" TargetMode="External" /><Relationship Type="http://schemas.openxmlformats.org/officeDocument/2006/relationships/hyperlink" Id="rId52" Target="https://doi.org/10.1093/med-psych/9780190926717.003.0018" TargetMode="External" /><Relationship Type="http://schemas.openxmlformats.org/officeDocument/2006/relationships/hyperlink" Id="rId46" Target="https://doi.org/10.1145/3090051" TargetMode="External" /><Relationship Type="http://schemas.openxmlformats.org/officeDocument/2006/relationships/hyperlink" Id="rId70" Target="https://doi.org/10.1146/annurev-clinpsy-032816-044949" TargetMode="External" /><Relationship Type="http://schemas.openxmlformats.org/officeDocument/2006/relationships/hyperlink" Id="rId64" Target="https://doi.org/10.2147/PPA.S474535" TargetMode="External" /><Relationship Type="http://schemas.openxmlformats.org/officeDocument/2006/relationships/hyperlink" Id="rId44" Target="https://doi.org/10.2196/39862" TargetMode="External" /><Relationship Type="http://schemas.openxmlformats.org/officeDocument/2006/relationships/hyperlink" Id="rId74" Target="https://doi.org/10.2196/41833" TargetMode="External" /><Relationship Type="http://schemas.openxmlformats.org/officeDocument/2006/relationships/hyperlink" Id="rId60" Target="https://doi.org/10/gfsjzg" TargetMode="External" /><Relationship Type="http://schemas.openxmlformats.org/officeDocument/2006/relationships/hyperlink" Id="rId27"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1" Target="https://jjcurtin.github.io/study_messages/notebooks\mak_figures-preview.html#cell-fig-1" TargetMode="External" /><Relationship Type="http://schemas.openxmlformats.org/officeDocument/2006/relationships/hyperlink" Id="rId29" Target="https://jjcurtin.github.io/study_messages/notebooks\mak_tables-preview.html#cell-tbl-1" TargetMode="External" /><Relationship Type="http://schemas.openxmlformats.org/officeDocument/2006/relationships/hyperlink" Id="rId34"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4" Target="https://www.ncbi.nlm.nih.gov/pmc/articles/PMC2797101" TargetMode="External" /><Relationship Type="http://schemas.openxmlformats.org/officeDocument/2006/relationships/hyperlink" Id="rId57"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Machine learning, Cellular Sensing</cp:keywords>
  <dcterms:created xsi:type="dcterms:W3CDTF">2026-01-12T12:37:14Z</dcterms:created>
  <dcterms:modified xsi:type="dcterms:W3CDTF">2026-01-12T12:37:14Z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powered by personal sensing and machine learning may assist with the inherently difficult task of identifying when and why an individual is at increased risk for lapse. Cellular communication sensing may be one promising method for detecting dynamic changes in lapse risk. Moreover, these communications can be contextualized with self-reported, risk-relevant information about the contact. In this study, we evaluated the performance of a machine learning model that predicts the probability of next-day alcohol lapse among individuals (N = 144) in early recovery from AUD using contextualized cellular communication data and baseline demographic and AUD characteristics. The best-performing model used an elastic net algorithm and retained 13 features. The median posterior auROC for the best model was 0.68, with a relatively narrow 95% Bayesian confidence interval (CI; [0.64, 0.71]) that did not include 0.5. We also evaluated a comparison model to assess the incremental predictive value of cellular communication features beyond baseline measures. The baseline model retained five features and achieved performance nearly identical to that of the full model (median auROC = 0.68, 95% CI [0.64, 0.71]). These results indicate that cellular communication data capture some risk-relevant signal for alcohol lapse; however, they do not provide incremental predictive value beyond a baseline model that includes only demographic and self-report measures. Several communication features were retained in the final model with moderately sized coefficients, suggesting that aspects of social communication may be important for understanding lapse risk. Nonetheless,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2026-01-12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