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2025-12-26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w:t>
      </w:r>
      <w:r>
        <w:rPr>
          <w:b/>
          <w:bCs/>
        </w:rPr>
        <w:t xml:space="preserve">marlattRelapsePreventionMaintenance1985?</w:t>
      </w:r>
      <w:r>
        <w:t xml:space="preserve">;</w:t>
      </w:r>
      <w:r>
        <w:t xml:space="preserve"> </w:t>
      </w:r>
      <w:r>
        <w:rPr>
          <w:b/>
          <w:bCs/>
        </w:rPr>
        <w:t xml:space="preserve">marlattRelapsePreventionSecond2007?</w:t>
      </w:r>
      <w:r>
        <w:t xml:space="preserve">)</w:t>
      </w:r>
      <w:r>
        <w:t xml:space="preserve">. While lapses can occur at any point in recovery, they are particularly risky during early recovery</w:t>
      </w:r>
      <w:r>
        <w:t xml:space="preserve"> </w:t>
      </w:r>
      <w:r>
        <w:t xml:space="preserve">(</w:t>
      </w:r>
      <w:r>
        <w:rPr>
          <w:b/>
          <w:bCs/>
        </w:rPr>
        <w:t xml:space="preserve">daleyReducingRiskRelapse2019?</w:t>
      </w:r>
      <w:r>
        <w:t xml:space="preserve">)</w:t>
      </w:r>
      <w:r>
        <w:t xml:space="preserve">. Protective coping mechanisms and socio-environmental resources that support recovery are dynamic and accumulate over time</w:t>
      </w:r>
      <w:r>
        <w:t xml:space="preserve"> </w:t>
      </w:r>
      <w:r>
        <w:t xml:space="preserve">(</w:t>
      </w:r>
      <w:r>
        <w:rPr>
          <w:b/>
          <w:bCs/>
        </w:rPr>
        <w:t xml:space="preserve">clevelandRecoveryRecoveryCapital2021?</w:t>
      </w:r>
      <w:r>
        <w:t xml:space="preserve">)</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 Still, questions remain about the long-term feasibility of self-report sensing methods and whether new, important risk factors might emerge from sensing methods that passively collect smartphone data without user input.</w:t>
      </w:r>
    </w:p>
    <w:p>
      <w:pPr>
        <w:pStyle w:val="BodyText"/>
      </w:pPr>
      <w:r>
        <w:t xml:space="preserve">Cellular communication sensing may be one promising method. It offers the potential for greater temporal specificity in capturing fluctuations in risk compared with self-report data (e.g., as they occur vs. prompting users to make reports the next day). Late night phonecalls could indicate an emergency,</w:t>
      </w:r>
      <w:r>
        <w:t xml:space="preserve"> </w:t>
      </w:r>
      <w:r>
        <w:t xml:space="preserve">“drunk dialing”</w:t>
      </w:r>
      <w:r>
        <w:t xml:space="preserve">, or other risk-relevant interactions. Cellular communications can also capture risk-relevant constructs more difficult for people to self report. A change in the number of unique contacts someone is interacting with could indicate an expanding or shrinking social circle.</w:t>
      </w:r>
    </w:p>
    <w:p>
      <w:pPr>
        <w:pStyle w:val="BodyText"/>
      </w:pPr>
      <w:r>
        <w:t xml:space="preserve">These passive data may become even more powerful when communications are contextualized with personal meaning for a given participant (e.g., Who is this contact to them? What is a typical interaction with them like?). In the above examples, contextualized communication data might reveal that the late-night phone call was to a sponsor, or that the shrinking social circle was due to reduced contact with people who are unsupportive of their recovery.</w:t>
      </w:r>
    </w:p>
    <w:p>
      <w:pPr>
        <w:pStyle w:val="BodyText"/>
      </w:pPr>
      <w:r>
        <w:t xml:space="preserve">In this study, we evaluated the performance of a machine learning model that predicts the probability of a next-day alcohol lapse amobg individuals in early recovery from alcohol use disorder using contextualized cellular communication data. We also describe the most important features contributing to these predictions, with the goal of identifying new, clinically meaningful features emerging from communication-based sensing.</w:t>
      </w:r>
    </w:p>
    <w:bookmarkEnd w:id="21"/>
    <w:bookmarkStart w:id="33"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been abstinent from alcohol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 At each monthly follow-up, we downloaded cellular communication metadata (voice calls and SMS text message logs) from participants’ smartphones. We identified important contacts (i.e., individuals they had communicated with at least twice by call or text in the past month) and asked 7 contextual questions about these contacts.</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p>
      <w:pPr>
        <w:pStyle w:val="BodyText"/>
      </w:pPr>
      <w:r>
        <w:t xml:space="preserve">We screened 192 participants. Of these, 169 enrolled and 154 completed the first follow-up. Data from 10 participants were excluded due to loss of abstinence goals, careless responding, or unusually low compliance. The final analytic sample included 144 participants.</w:t>
      </w:r>
    </w:p>
    <w:bookmarkEnd w:id="25"/>
    <w:bookmarkStart w:id="31"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In total, there were 11,507 labeled prediction windows across all participants.</w:t>
      </w:r>
    </w:p>
    <w:p>
      <w:pPr>
        <w:pStyle w:val="BodyText"/>
      </w:pPr>
      <w:r>
        <w:t xml:space="preserve">Features were engineered from all available data up to the start of each window.</w:t>
      </w:r>
      <w:r>
        <w:rPr>
          <w:rStyle w:val="FootnoteReference"/>
        </w:rPr>
        <w:footnoteReference w:id="26"/>
      </w:r>
      <w:r>
        <w:t xml:space="preserve"> </w:t>
      </w:r>
      <w:r>
        <w:t xml:space="preserve">The full model included 406 features from cellular communication data plus 24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and feature engineering procedures.</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by a between-subject measure of our outcome (low lapsers: 0-9 lapses; high lapsers: 10+ lapses).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7"/>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8">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2"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2"/>
    <w:bookmarkEnd w:id="33"/>
    <w:bookmarkStart w:id="43" w:name="results"/>
    <w:p>
      <w:pPr>
        <w:pStyle w:val="Heading1"/>
      </w:pPr>
      <w:r>
        <w:t xml:space="preserve">Results</w:t>
      </w:r>
    </w:p>
    <w:bookmarkStart w:id="36" w:name="participants"/>
    <w:p>
      <w:pPr>
        <w:pStyle w:val="Heading2"/>
      </w:pPr>
      <w:r>
        <w:t xml:space="preserve">Participants</w:t>
      </w:r>
    </w:p>
    <w:p>
      <w:pPr>
        <w:pStyle w:val="FirstParagraph"/>
      </w:pPr>
      <w:hyperlink w:anchor="tbl-2">
        <w:r>
          <w:rPr>
            <w:rStyle w:val="Hyperlink"/>
          </w:rPr>
          <w:t xml:space="preserve">Table 2</w:t>
        </w:r>
      </w:hyperlink>
      <w:r>
        <w:t xml:space="preserve"> </w:t>
      </w:r>
      <w:r>
        <w:t xml:space="preserve">provides the demographic characterization of our sample. We obtained a total of 375,912 contextualized communications across participants. Participants had, on average, 2,610 communications (range = 109-14,225). 56% of participants reported at least one lapse.</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their posterior distributions were meaningfully different.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6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Future studies could explore whether data from these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 and other sensing methods like geolocation appear to be more promising. Other practical challenges for collecting call and text message data further limit the feasibility of this sensing method (e.g., Apple heavily restricts the collection of these data by apps in their app store). We conclude that other forms of social interaction characterization (e.g., engineering time spent with supportive contacts from geolocation data) are more worthwhile to pursue in future research.</w:t>
      </w:r>
    </w:p>
    <w:p>
      <w:r>
        <w:br w:type="page"/>
      </w:r>
    </w:p>
    <w:bookmarkStart w:id="6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dennisManagingAddictionChronic2007"/>
    <w:p>
      <w:pPr>
        <w:pStyle w:val="Bibliography"/>
      </w:pPr>
      <w:r>
        <w:t xml:space="preserve">Dennis, M., &amp; Scott, C. K. (2007).</w:t>
      </w:r>
      <w:r>
        <w:t xml:space="preserve"> </w:t>
      </w:r>
      <w:hyperlink r:id="rId5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1"/>
    <w:bookmarkStart w:id="52"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2"/>
    <w:bookmarkStart w:id="54" w:name="X72fdb242290119aefa439c46cdcc18630f6c0fa"/>
    <w:p>
      <w:pPr>
        <w:pStyle w:val="Bibliography"/>
      </w:pPr>
      <w:r>
        <w:t xml:space="preserve">Flannery, B. A., Volpicelli, J. R., &amp; Pettinati, H. M. (1999).</w:t>
      </w:r>
      <w:r>
        <w:t xml:space="preserve"> </w:t>
      </w:r>
      <w:hyperlink r:id="rId53">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4"/>
    <w:bookmarkStart w:id="55"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5"/>
    <w:bookmarkStart w:id="57"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56">
        <w:r>
          <w:rPr>
            <w:rStyle w:val="Hyperlink"/>
          </w:rPr>
          <w:t xml:space="preserve">https://doi.org/10.2147/PPA.S474535</w:t>
        </w:r>
      </w:hyperlink>
    </w:p>
    <w:bookmarkEnd w:id="57"/>
    <w:bookmarkStart w:id="59"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58">
        <w:r>
          <w:rPr>
            <w:rStyle w:val="Hyperlink"/>
          </w:rPr>
          <w:t xml:space="preserve">https://doi.org/10.1080/1533256X.2011.593445</w:t>
        </w:r>
      </w:hyperlink>
    </w:p>
    <w:bookmarkEnd w:id="59"/>
    <w:bookmarkStart w:id="61"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0">
        <w:r>
          <w:rPr>
            <w:rStyle w:val="Hyperlink"/>
          </w:rPr>
          <w:t xml:space="preserve">https://doi.org/10.1001/jama.284.13.1689</w:t>
        </w:r>
      </w:hyperlink>
    </w:p>
    <w:bookmarkEnd w:id="61"/>
    <w:bookmarkStart w:id="6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2">
        <w:r>
          <w:rPr>
            <w:rStyle w:val="Hyperlink"/>
          </w:rPr>
          <w:t xml:space="preserve">https://doi.org/10.1146/annurev-clinpsy-032816-044949</w:t>
        </w:r>
      </w:hyperlink>
    </w:p>
    <w:bookmarkEnd w:id="63"/>
    <w:bookmarkStart w:id="64"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64"/>
    <w:bookmarkStart w:id="65"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65"/>
    <w:bookmarkStart w:id="6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66">
        <w:r>
          <w:rPr>
            <w:rStyle w:val="Hyperlink"/>
          </w:rPr>
          <w:t xml:space="preserve">https://doi.org/10.1037/abn0000901</w:t>
        </w:r>
      </w:hyperlink>
    </w:p>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We filtered the data to include only communications with known context prior to feature engineering.</w:t>
      </w:r>
    </w:p>
  </w:footnote>
  <w:footnote w:id="27">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0"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58" Target="https://doi.org/10.1080/1533256X.2011.593445" TargetMode="External" /><Relationship Type="http://schemas.openxmlformats.org/officeDocument/2006/relationships/hyperlink" Id="rId46"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56"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0" Target="https://www.ncbi.nlm.nih.gov/pmc/articles/PMC2797101" TargetMode="External" /><Relationship Type="http://schemas.openxmlformats.org/officeDocument/2006/relationships/hyperlink" Id="rId53"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1/jama.284.13.1689" TargetMode="External" /><Relationship Type="http://schemas.openxmlformats.org/officeDocument/2006/relationships/hyperlink" Id="rId48" Target="https://doi.org/10.1016/j.jsat.2013.08.004" TargetMode="External" /><Relationship Type="http://schemas.openxmlformats.org/officeDocument/2006/relationships/hyperlink" Id="rId66" Target="https://doi.org/10.1037/abn0000901" TargetMode="External" /><Relationship Type="http://schemas.openxmlformats.org/officeDocument/2006/relationships/hyperlink" Id="rId58" Target="https://doi.org/10.1080/1533256X.2011.593445" TargetMode="External" /><Relationship Type="http://schemas.openxmlformats.org/officeDocument/2006/relationships/hyperlink" Id="rId46" Target="https://doi.org/10.1145/3090051" TargetMode="External" /><Relationship Type="http://schemas.openxmlformats.org/officeDocument/2006/relationships/hyperlink" Id="rId62" Target="https://doi.org/10.1146/annurev-clinpsy-032816-044949" TargetMode="External" /><Relationship Type="http://schemas.openxmlformats.org/officeDocument/2006/relationships/hyperlink" Id="rId56"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0" Target="https://www.ncbi.nlm.nih.gov/pmc/articles/PMC2797101" TargetMode="External" /><Relationship Type="http://schemas.openxmlformats.org/officeDocument/2006/relationships/hyperlink" Id="rId53"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2025-12-26T17:52:50Z</dcterms:created>
  <dcterms:modified xsi:type="dcterms:W3CDTF">2025-12-26T17:52:50Z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2025-12-26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