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2024-10-20</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technique"/>
    <w:p>
      <w:pPr>
        <w:pStyle w:val="Heading3"/>
      </w:pPr>
      <w:r>
        <w:t xml:space="preserve">Feature Engineering Technique</w:t>
      </w:r>
    </w:p>
    <w:p>
      <w:pPr>
        <w:pStyle w:val="FirstParagraph"/>
      </w:pPr>
      <w:r>
        <w:t xml:space="preserve">Text messages served as the only raw source for all feature engineering. The document sets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reported the median auROCs for the 30 held-out folds.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 if they include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in each of above individual characteristics). We reported the 95% CI for model performance differences and examined if they include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2024-10-20T06:36:33Z</dcterms:created>
  <dcterms:modified xsi:type="dcterms:W3CDTF">2024-10-20T06:36:33Z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2024-10-20</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