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2026-04-20</w:t>
      </w:r>
    </w:p>
    <w:p>
      <w:pPr>
        <w:pStyle w:val="AbstractTitle"/>
      </w:pPr>
      <w:r>
        <w:t xml:space="preserve">Abstract</w:t>
      </w:r>
    </w:p>
    <w:p>
      <w:pPr>
        <w:pStyle w:val="Abstract"/>
      </w:pPr>
      <w:r>
        <w:t xml:space="preserve">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 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 These findings demonstrate that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Use Disorder (AUD) is a chronic, relapsing disease</w:t>
      </w:r>
      <w:r>
        <w:t xml:space="preserve"> </w:t>
      </w:r>
      <w:r>
        <w:t xml:space="preserve">[1–3]</w:t>
      </w:r>
      <w:r>
        <w:t xml:space="preserve">. Lapses, single episodes of alcohol use, are among the strongest predictors (and a necessary precursor) of relapse, a full return to harmful drinking</w:t>
      </w:r>
      <w:r>
        <w:t xml:space="preserve"> </w:t>
      </w:r>
      <w:r>
        <w:t xml:space="preserve">[4,5]</w:t>
      </w:r>
      <w:r>
        <w:t xml:space="preserve">. While lapses can occur at any point in recovery, they are particularly risky during early recovery</w:t>
      </w:r>
      <w:r>
        <w:t xml:space="preserve"> </w:t>
      </w:r>
      <w:r>
        <w:t xml:space="preserve">[6]</w:t>
      </w:r>
      <w:r>
        <w:t xml:space="preserve">. Protective coping mechanisms and socio-environmental resources that support recovery are dynamic and accumulate over time</w:t>
      </w:r>
      <w:r>
        <w:t xml:space="preserve"> </w:t>
      </w:r>
      <w:r>
        <w:t xml:space="preserve">[7]</w:t>
      </w:r>
      <w:r>
        <w:t xml:space="preserve">. Consequently, early recovery represents a critical window of vulnerability during which a lapse is more likely to escalate into relapse.</w:t>
      </w:r>
    </w:p>
    <w:p>
      <w:pPr>
        <w:pStyle w:val="BodyText"/>
      </w:pPr>
      <w:r>
        <w:t xml:space="preserve">Given the dynamic and context-dependent nature of lapse risk, there is a clear need for methods capable of identifying when and why an individual is at increased risk in real time. An automated recovery support system powered by personal sensing and machine learning may assist with this inherently difficult task. Personal sensing of densely sampled data from individuals’ day-to-day lives can provide the inputs necessary for temporally dynamic lapse prediction</w:t>
      </w:r>
      <w:r>
        <w:t xml:space="preserve"> </w:t>
      </w:r>
      <w:r>
        <w:t xml:space="preserve">[8]</w:t>
      </w:r>
      <w:r>
        <w:t xml:space="preserve">. Early machine learning models using ecological momentary assessment (EMA) data have achieved excellent accuracy in predicting future lapses back to alcohol use in treatment seeking populations</w:t>
      </w:r>
      <w:r>
        <w:t xml:space="preserve"> </w:t>
      </w:r>
      <w:r>
        <w:t xml:space="preserve">[9–11]</w:t>
      </w:r>
      <w:r>
        <w:t xml:space="preserve">.</w:t>
      </w:r>
    </w:p>
    <w:p>
      <w:pPr>
        <w:pStyle w:val="BodyText"/>
      </w:pPr>
      <w:r>
        <w:t xml:space="preserve">Despite the high predictive success of EMA-based approaches, questions remain about the long-term feasibility of a self-report sensing method. EMA has been shown to be well tolerated among substance-using populations over relatively short periods</w:t>
      </w:r>
      <w:r>
        <w:t xml:space="preserve"> </w:t>
      </w:r>
      <w:r>
        <w:t xml:space="preserve">[12,13]</w:t>
      </w:r>
      <w:r>
        <w:t xml:space="preserve">. However, it is unclear whether individuals would be willing or able to adhere to intensive EMA protocols (e.g., four prompts per day) indefinitely. Moreover, EMA items are selected using domain expertise from decades of research on the self-report factors associated with lapse. It is possible, however, that additional lapse precipitants remain undiscovered due to small subtle changes in one’s environment, social circle, or lifestyle that cannot be easily detected via self-report.</w:t>
      </w:r>
    </w:p>
    <w:p>
      <w:pPr>
        <w:pStyle w:val="BodyText"/>
      </w:pPr>
      <w:r>
        <w:t xml:space="preserve">Cellular communication sensing may be a promising alternative or complement to EMA. Whereas EMA is limited to, at most, several assessments per day, communication sensing is mostly passive and can be monitored moment-by-moment. Cellular communication patterns capture clear, risk-relevant constructs. Late-night phone calls could indicate an emergency, “drunk dialing,” 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Knowing a participant’s relationship to their contacts, whether they have previously drunk alcohol with a given contact, or whether that contact supports their recovery goals could fundamentally alter interpretation. In the examples above, contextualized communication data might reveal that the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This focus on contextualized communication is especially important because lapse is fundamentally social. A large body of literature highlights the importance of social support and social network influences on drinking behavior and recovery outcomes</w:t>
      </w:r>
      <w:r>
        <w:t xml:space="preserve"> </w:t>
      </w:r>
      <w:r>
        <w:t xml:space="preserve">[</w:t>
      </w:r>
      <w:r>
        <w:rPr>
          <w:b/>
          <w:bCs/>
        </w:rPr>
        <w:t xml:space="preserve">hunter-reelEmphasizingInterpersonalFactors2009?</w:t>
      </w:r>
      <w:r>
        <w:t xml:space="preserve">,</w:t>
      </w:r>
      <w:r>
        <w:rPr>
          <w:b/>
          <w:bCs/>
        </w:rPr>
        <w:t xml:space="preserve">witkiewitzEmphasisInterpersonalFactors2005?</w:t>
      </w:r>
      <w:r>
        <w:t xml:space="preserve">,</w:t>
      </w:r>
      <w:r>
        <w:rPr>
          <w:b/>
          <w:bCs/>
        </w:rPr>
        <w:t xml:space="preserve">stantonRelapsePreventionNeeds2005?</w:t>
      </w:r>
      <w:r>
        <w:t xml:space="preserve">]</w:t>
      </w:r>
      <w:r>
        <w:t xml:space="preserve">. Positive social relationships have consistently been associated with better alcohol treatment outcomes</w:t>
      </w:r>
      <w:r>
        <w:t xml:space="preserve"> </w:t>
      </w:r>
      <w:r>
        <w:t xml:space="preserve">[</w:t>
      </w:r>
      <w:r>
        <w:rPr>
          <w:b/>
          <w:bCs/>
        </w:rPr>
        <w:t xml:space="preserve">grohFriendsFamilyAlcohol2010?</w:t>
      </w:r>
      <w:r>
        <w:t xml:space="preserve">,</w:t>
      </w:r>
      <w:r>
        <w:rPr>
          <w:b/>
          <w:bCs/>
        </w:rPr>
        <w:t xml:space="preserve">kellyRoleAlcoholicsAnonymous2012?</w:t>
      </w:r>
      <w:r>
        <w:t xml:space="preserve">,</w:t>
      </w:r>
      <w:r>
        <w:rPr>
          <w:b/>
          <w:bCs/>
        </w:rPr>
        <w:t xml:space="preserve">zywiakDecomposingRelationshipsPretreatment2002?</w:t>
      </w:r>
      <w:r>
        <w:t xml:space="preserve">,</w:t>
      </w:r>
      <w:r>
        <w:rPr>
          <w:b/>
          <w:bCs/>
        </w:rPr>
        <w:t xml:space="preserve">longabaughNetworkSupportPrognostic2010?</w:t>
      </w:r>
      <w:r>
        <w:t xml:space="preserve">]</w:t>
      </w:r>
      <w:r>
        <w:t xml:space="preserve">. Conversely, maintaining relationships with heavy drinkers or individuals unsupportive of recovery is associated with poorer outcomes</w:t>
      </w:r>
      <w:r>
        <w:t xml:space="preserve"> </w:t>
      </w:r>
      <w:r>
        <w:t xml:space="preserve">[</w:t>
      </w:r>
      <w:r>
        <w:rPr>
          <w:b/>
          <w:bCs/>
        </w:rPr>
        <w:t xml:space="preserve">alvarezSocialNetworkHeavy2021?</w:t>
      </w:r>
      <w:r>
        <w:t xml:space="preserve">,</w:t>
      </w:r>
      <w:r>
        <w:rPr>
          <w:b/>
          <w:bCs/>
        </w:rPr>
        <w:t xml:space="preserve">gordonSocialNetworksRecovery1991?</w:t>
      </w:r>
      <w:r>
        <w:t xml:space="preserve">,</w:t>
      </w:r>
      <w:r>
        <w:rPr>
          <w:b/>
          <w:bCs/>
        </w:rPr>
        <w:t xml:space="preserve">mohrGettingGettingHigh2001?</w:t>
      </w:r>
      <w:r>
        <w:t xml:space="preserve">]</w:t>
      </w:r>
      <w:r>
        <w:t xml:space="preserve">. The supportive pro-abstinence social component of self-help groups such as Alcoholics Anonymous is thought to play a major role in their efficacy</w:t>
      </w:r>
      <w:r>
        <w:t xml:space="preserve"> </w:t>
      </w:r>
      <w:r>
        <w:t xml:space="preserve">[</w:t>
      </w:r>
      <w:r>
        <w:rPr>
          <w:b/>
          <w:bCs/>
        </w:rPr>
        <w:t xml:space="preserve">kellyRoleAlcoholicsAnonymous2012?</w:t>
      </w:r>
      <w:r>
        <w:t xml:space="preserve">,</w:t>
      </w:r>
      <w:r>
        <w:rPr>
          <w:b/>
          <w:bCs/>
        </w:rPr>
        <w:t xml:space="preserve">grohSocialNetworkVariables2008?</w:t>
      </w:r>
      <w:r>
        <w:t xml:space="preserve">,</w:t>
      </w:r>
      <w:r>
        <w:rPr>
          <w:b/>
          <w:bCs/>
        </w:rPr>
        <w:t xml:space="preserve">woffServiceProvidersPerceptions1996?</w:t>
      </w:r>
      <w:r>
        <w:t xml:space="preserve">,</w:t>
      </w:r>
      <w:r>
        <w:rPr>
          <w:b/>
          <w:bCs/>
        </w:rPr>
        <w:t xml:space="preserve">humphreysEnhancedFriendshipNetworks1999?</w:t>
      </w:r>
      <w:r>
        <w:t xml:space="preserve">]</w:t>
      </w:r>
      <w:r>
        <w:t xml:space="preserve">. The buffering hypothesis further suggests that positive social relationships mitigate the negative effects of stress by providing resources that promote adaptive responses</w:t>
      </w:r>
      <w:r>
        <w:t xml:space="preserve"> </w:t>
      </w:r>
      <w:r>
        <w:t xml:space="preserve">[</w:t>
      </w:r>
      <w:r>
        <w:rPr>
          <w:b/>
          <w:bCs/>
        </w:rPr>
        <w:t xml:space="preserve">cohenStressSocialSupport?</w:t>
      </w:r>
      <w:r>
        <w:t xml:space="preserve">,</w:t>
      </w:r>
      <w:r>
        <w:rPr>
          <w:b/>
          <w:bCs/>
        </w:rPr>
        <w:t xml:space="preserve">holt-lunstadSocialRelationshipsMortality2010?</w:t>
      </w:r>
      <w:r>
        <w:t xml:space="preserve">]</w:t>
      </w:r>
      <w:r>
        <w:t xml:space="preserve">, a mechanism that likely extends to lapse risk given stress’s role as a common precipitant of alcohol use</w:t>
      </w:r>
      <w:r>
        <w:t xml:space="preserve"> </w:t>
      </w:r>
      <w:r>
        <w:t xml:space="preserve">[</w:t>
      </w:r>
      <w:r>
        <w:rPr>
          <w:b/>
          <w:bCs/>
        </w:rPr>
        <w:t xml:space="preserve">fronkStressAllostasisSubstance2020?</w:t>
      </w:r>
      <w:r>
        <w:t xml:space="preserve">]</w:t>
      </w:r>
      <w:r>
        <w:t xml:space="preserve">. Critically, these influences unfold over time through everyday social interactions.</w:t>
      </w:r>
    </w:p>
    <w:p>
      <w:pPr>
        <w:pStyle w:val="BodyText"/>
      </w:pPr>
      <w:r>
        <w:t xml:space="preserve">Because many social interactions occur via phone, cellular communication logs provide a natural and ecologically valid window into patterns of social engagement. Social relationships are inherently dynamic</w:t>
      </w:r>
      <w:r>
        <w:t xml:space="preserve"> </w:t>
      </w:r>
      <w:r>
        <w:t xml:space="preserve">[</w:t>
      </w:r>
      <w:r>
        <w:rPr>
          <w:b/>
          <w:bCs/>
        </w:rPr>
        <w:t xml:space="preserve">hidalgoDynamicsMobilePhone2008?</w:t>
      </w:r>
      <w:r>
        <w:t xml:space="preserve">,</w:t>
      </w:r>
      <w:r>
        <w:rPr>
          <w:b/>
          <w:bCs/>
        </w:rPr>
        <w:t xml:space="preserve">sekaraFundamentalStructuresDynamic2016?</w:t>
      </w:r>
      <w:r>
        <w:t xml:space="preserve">,</w:t>
      </w:r>
      <w:r>
        <w:rPr>
          <w:b/>
          <w:bCs/>
        </w:rPr>
        <w:t xml:space="preserve">saramakiSecondsMonthsOverview2015?</w:t>
      </w:r>
      <w:r>
        <w:t xml:space="preserve">,</w:t>
      </w:r>
      <w:r>
        <w:rPr>
          <w:b/>
          <w:bCs/>
        </w:rPr>
        <w:t xml:space="preserve">kossinetsEmpiricalAnalysisEvolving2006?</w:t>
      </w:r>
      <w:r>
        <w:t xml:space="preserve">]</w:t>
      </w:r>
      <w:r>
        <w:t xml:space="preserve">, and time-stamped communication data allow for the tracking of how these interactions fluctuate over time. For example, shifts in one’s most frequently contacted individuals, or systematic changes such as repeatedly ignoring calls from a normally frequent contact, may signal meaningful changes in social dynamics relevant to lapse risk.</w:t>
      </w:r>
    </w:p>
    <w:p>
      <w:pPr>
        <w:pStyle w:val="BodyText"/>
      </w:pPr>
      <w:r>
        <w:t xml:space="preserve">In this study, we evaluated whether contextualized cellular communication features contain clinically meaningful signals for predicting next-day alcohol lapse risk among individuals in early recovery from AUD. Using a machine learning approach, we examined the predictive utility of these features and identified the most informative communication-based features, with the goal of uncovering novel, clinically relevant predictors of lapse risk.</w:t>
      </w:r>
    </w:p>
    <w:bookmarkEnd w:id="10"/>
    <w:bookmarkStart w:id="22" w:name="methods"/>
    <w:p>
      <w:pPr>
        <w:pStyle w:val="Heading1"/>
      </w:pPr>
      <w:r>
        <w:t xml:space="preserve">Methods</w:t>
      </w:r>
    </w:p>
    <w:bookmarkStart w:id="12"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checklist</w:t>
      </w:r>
      <w:r>
        <w:t xml:space="preserve"> </w:t>
      </w:r>
      <w:r>
        <w:t xml:space="preserve">[14]</w:t>
      </w:r>
      <w:r>
        <w:t xml:space="preserve"> </w:t>
      </w:r>
      <w:r>
        <w:t xml:space="preserve">in the supplement. Second, our features, labels, questionnaires, code, and other study materials are publicly available on our Open Science Framework (OSF) page (</w:t>
      </w:r>
      <w:hyperlink r:id="rId11">
        <w:r>
          <w:rPr>
            <w:rStyle w:val="Hyperlink"/>
          </w:rPr>
          <w:t xml:space="preserve">https://osf.io/wgpz9/</w:t>
        </w:r>
      </w:hyperlink>
      <w:r>
        <w:t xml:space="preserve">).</w:t>
      </w:r>
    </w:p>
    <w:bookmarkEnd w:id="12"/>
    <w:bookmarkStart w:id="13" w:name="participants-and-procedure"/>
    <w:p>
      <w:pPr>
        <w:pStyle w:val="Heading2"/>
      </w:pPr>
      <w:r>
        <w:t xml:space="preserve">Participants and Procedure</w:t>
      </w:r>
    </w:p>
    <w:p>
      <w:pPr>
        <w:pStyle w:val="FirstParagraph"/>
      </w:pPr>
      <w:r>
        <w:t xml:space="preserve">We recruited 192 adults in early recovery from AUD in Madison, Wisconsin, USA through print and digital advertisements and partnerships with treatment centers from February 15, 2017 through September 19, 2019. This sample size was determined based on traditional power analysis methods for logistic regression</w:t>
      </w:r>
      <w:r>
        <w:t xml:space="preserve"> </w:t>
      </w:r>
      <w:r>
        <w:t xml:space="preserve">[15]</w:t>
      </w:r>
      <w:r>
        <w:t xml:space="preserve"> </w:t>
      </w:r>
      <w:r>
        <w:t xml:space="preserve">because comparable approaches for machine learning models have not yet been validated. Eligibility criteria required that participants were age 18 or older, able to read and write in English, had moderate to severe AUD (≥4 self-reported DSM-5 symptoms), had a goal of abstinence from alcohol at the time of the screening visit, had been abstinent for 1–8 weeks, were willing to use a single smartphone, and were not exhibiting severe psychosis or paranoia (defined as scores &gt;2.2 or 2.8, respectively, on the psychosis or paranoia scales of the Symptom Checklist–90</w:t>
      </w:r>
      <w:r>
        <w:t xml:space="preserve"> </w:t>
      </w:r>
      <w:r>
        <w:t xml:space="preserve">[16]</w:t>
      </w:r>
      <w:r>
        <w:t xml:space="preserve">.)</w:t>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and income) and clinical characteristics (DSM-5 AUD symptom count, personality</w:t>
      </w:r>
      <w:r>
        <w:t xml:space="preserve"> </w:t>
      </w:r>
      <w:r>
        <w:t xml:space="preserve">[17]</w:t>
      </w:r>
      <w:r>
        <w:t xml:space="preserve">, and psychiatric symptoms</w:t>
      </w:r>
      <w:r>
        <w:t xml:space="preserve"> </w:t>
      </w:r>
      <w:r>
        <w:t xml:space="preserve">[16,18]</w:t>
      </w:r>
      <w:r>
        <w:t xml:space="preserve">). At the intake visit, approximately two weeks after screening, we collected additional self-report data on abstinence self-efficacy</w:t>
      </w:r>
      <w:r>
        <w:t xml:space="preserve"> </w:t>
      </w:r>
      <w:r>
        <w:t xml:space="preserve">[19]</w:t>
      </w:r>
      <w:r>
        <w:t xml:space="preserve">, craving</w:t>
      </w:r>
      <w:r>
        <w:t xml:space="preserve"> </w:t>
      </w:r>
      <w:r>
        <w:t xml:space="preserve">[20]</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considered important. For each important contact, participants answered seven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four brief daily ecological momentary assessments (7-10 questions). The first item assessed alcohol use (date and time of any unreported drinking episodes). The remaining EMA questions were used as features in other studies</w:t>
      </w:r>
      <w:r>
        <w:t xml:space="preserve"> </w:t>
      </w:r>
      <w:r>
        <w:t xml:space="preserve">[10,11]</w:t>
      </w:r>
      <w:r>
        <w:t xml:space="preserve">, but were outside the scope of this cellular communication sensing study. Additional sensing data streams and self-report measures were collected for the parent grant. We compensated participants up to $115 per month for completing study tasks (i.e., EMAs, monthly follow-up visits and sharing sensing data) and $66 per month to offset the cost of their cellphone plan. The full study protocol is available on our OSF page (</w:t>
      </w:r>
      <w:hyperlink r:id="rId11">
        <w:r>
          <w:rPr>
            <w:rStyle w:val="Hyperlink"/>
          </w:rPr>
          <w:t xml:space="preserve">https://osf.io/wgpz9/</w:t>
        </w:r>
      </w:hyperlink>
      <w:r>
        <w:t xml:space="preserve">).</w:t>
      </w:r>
    </w:p>
    <w:bookmarkEnd w:id="13"/>
    <w:bookmarkStart w:id="14"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4"/>
    <w:bookmarkStart w:id="21" w:name="data-analysis-plan"/>
    <w:p>
      <w:pPr>
        <w:pStyle w:val="Heading2"/>
      </w:pPr>
      <w:r>
        <w:t xml:space="preserve">Data Analysis Plan</w:t>
      </w:r>
    </w:p>
    <w:bookmarkStart w:id="15"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Participants demonstrated good adherence to our 4X daily EMA protocol (mean adherence = 78%) and provided at least one EMA on 95% of study days. Prediction windows were labeled as lapse if any alcohol use was reported in the 24-hour window. In total, there were 11,507 labeled prediction windows across all participants. Positive lapse labels were underrepresented (7.5%; 861/11,507).</w:t>
      </w:r>
    </w:p>
    <w:bookmarkEnd w:id="15"/>
    <w:bookmarkStart w:id="18"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181 features from four feature sets:</w:t>
      </w:r>
    </w:p>
    <w:p>
      <w:pPr>
        <w:numPr>
          <w:ilvl w:val="0"/>
          <w:numId w:val="1001"/>
        </w:numPr>
      </w:pPr>
      <w:r>
        <w:rPr>
          <w:i/>
          <w:iCs/>
        </w:rPr>
        <w:t xml:space="preserve">Cellular Communication Data.</w:t>
      </w:r>
      <w:r>
        <w:t xml:space="preserve"> </w:t>
      </w:r>
      <w:r>
        <w:t xml:space="preserve">We filtered the raw communication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two feature scoring epochs (24 hours and 1 week before the start of the prediction window) to create a total of 142 features.</w:t>
      </w:r>
    </w:p>
    <w:p>
      <w:pPr>
        <w:numPr>
          <w:ilvl w:val="0"/>
          <w:numId w:val="1000"/>
        </w:numPr>
      </w:pPr>
      <w:r>
        <w:t xml:space="preserve">Within each feature scoring epoch, we calculated two types of features: raw and difference features. Raw features represent the feature value calculated within a given feature scoring epoch. For example, the raw rate of incoming text messages in a 24-hour feature scoring epoch was calculated as the total number of incoming text messages in the 24 hours immediately preceding the start of the prediction window, divided by 24.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numPr>
          <w:ilvl w:val="0"/>
          <w:numId w:val="1001"/>
        </w:numPr>
      </w:pPr>
      <w:r>
        <w:rPr>
          <w:i/>
          <w:iCs/>
        </w:rPr>
        <w:t xml:space="preserve">Demographics.</w:t>
      </w:r>
      <w:r>
        <w:t xml:space="preserve"> </w:t>
      </w:r>
      <w:r>
        <w:t xml:space="preserve">We created 2 numeric features for age and income, and 10 one-hot coded features for sex at birth (male, female), race and ethnicity (non-Hispanic White, Hispanic and/or not White), education (high school or less, some college, college degree), and marital status (married, not married, other).</w:t>
      </w:r>
    </w:p>
    <w:p>
      <w:pPr>
        <w:numPr>
          <w:ilvl w:val="0"/>
          <w:numId w:val="1001"/>
        </w:numPr>
      </w:pPr>
      <w:r>
        <w:rPr>
          <w:i/>
          <w:iCs/>
        </w:rPr>
        <w:t xml:space="preserve">Alcohol Use Characteristics.</w:t>
      </w:r>
      <w:r>
        <w:t xml:space="preserve"> </w:t>
      </w:r>
      <w:r>
        <w:t xml:space="preserve">We created 21 features from baseline measures of alcohol use characteristics, including numeric features of DSM-5 AUD symptom count, craving, four abstinence self-efficacy subscales (negative affect, social, physical, and craving), number of individual alcohol counseling sessions, group alcohol counseling sessions, self-help meetings, and other mental health counseling sessions in the past 30 days, number of days in contact with supportive and unsupportive people in the past 30 days, and satisfaction with and confidence in recovery over the past 30 days. We also created one-hot coded features for whether they have taken prescription medication for alcohol use disorder or mental health in the past 30 days and whether they had a goal of abstinence.</w:t>
      </w:r>
    </w:p>
    <w:p>
      <w:pPr>
        <w:numPr>
          <w:ilvl w:val="0"/>
          <w:numId w:val="1001"/>
        </w:numPr>
      </w:pPr>
      <w:r>
        <w:rPr>
          <w:i/>
          <w:iCs/>
        </w:rPr>
        <w:t xml:space="preserve">Psychiatric and Personality Characteristics</w:t>
      </w:r>
      <w:r>
        <w:t xml:space="preserve"> </w:t>
      </w:r>
      <w:r>
        <w:t xml:space="preserve">We created 6 numeric features from baseline measures from broad psychiatric and personality traits, including higher order personality dimensions of positive emotionality, negative emotionality, and constraint and psychiatric comorbidities of depression, anxiety, and stress.</w:t>
      </w:r>
    </w:p>
    <w:p>
      <w:pPr>
        <w:pStyle w:val="FirstParagraph"/>
      </w:pPr>
      <w:hyperlink w:anchor="tbl-1">
        <w:r>
          <w:rPr>
            <w:rStyle w:val="Hyperlink"/>
          </w:rPr>
          <w:t xml:space="preserve">Table 1</w:t>
        </w:r>
      </w:hyperlink>
      <w:r>
        <w:t xml:space="preserve"> </w:t>
      </w:r>
      <w:r>
        <w:t xml:space="preserve">details the raw predictors, feature sets, feature engineering procedures, scoring epochs, and number of features. If no data was observed during a feature scoring epoch that feature was scored 0, thus there was no missing data across features. Other feature engineering steps performed during cross-validation included standardizing all features and removing zero and near-zero variance features as determined from held-in data (code for our full data pre-processing pipeline is available on our OSF page [(</w:t>
      </w:r>
      <w:hyperlink r:id="rId11">
        <w:r>
          <w:rPr>
            <w:rStyle w:val="Hyperlink"/>
          </w:rPr>
          <w:t xml:space="preserve">https://osf.io/wgpz9/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 w:name="tbl-1"/>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Predictor</w:t>
                  </w:r>
                </w:p>
              </w:tc>
              <w:tc>
                <w:tcPr/>
                <w:p>
                  <w:pPr>
                    <w:pStyle w:val="Compact"/>
                    <w:jc w:val="left"/>
                    <w:jc w:val="center"/>
                  </w:pPr>
                  <w:r>
                    <w:t xml:space="preserve">Feature Set</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r>
            <w:tr>
              <w:tc>
                <w:tcPr/>
                <w:p>
                  <w:pPr>
                    <w:pStyle w:val="Compact"/>
                    <w:jc w:val="left"/>
                    <w:jc w:val="center"/>
                  </w:pPr>
                  <w:r>
                    <w:t xml:space="preserve">Originated</w:t>
                  </w:r>
                </w:p>
              </w:tc>
              <w:tc>
                <w:tcPr/>
                <w:p>
                  <w:pPr>
                    <w:pStyle w:val="Compact"/>
                    <w:jc w:val="left"/>
                    <w:jc w:val="center"/>
                  </w:pPr>
                  <w:r>
                    <w:t xml:space="preserve">cellular communication</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Call duration</w:t>
                  </w:r>
                </w:p>
              </w:tc>
              <w:tc>
                <w:tcPr/>
                <w:p>
                  <w:pPr>
                    <w:pStyle w:val="Compact"/>
                    <w:jc w:val="left"/>
                    <w:jc w:val="center"/>
                  </w:pPr>
                  <w:r>
                    <w:t xml:space="preserve">cellular communication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24 and 1 week</w:t>
                  </w:r>
                </w:p>
              </w:tc>
              <w:tc>
                <w:tcPr/>
                <w:p>
                  <w:pPr>
                    <w:pStyle w:val="Compact"/>
                    <w:jc w:val="right"/>
                    <w:jc w:val="center"/>
                  </w:pPr>
                  <w:r>
                    <w:t xml:space="preserve">6</w:t>
                  </w:r>
                </w:p>
              </w:tc>
            </w:tr>
            <w:tr>
              <w:tc>
                <w:tcPr/>
                <w:p>
                  <w:pPr>
                    <w:pStyle w:val="Compact"/>
                    <w:jc w:val="left"/>
                    <w:jc w:val="center"/>
                  </w:pPr>
                  <w:r>
                    <w:t xml:space="preserve">Call answered</w:t>
                  </w:r>
                </w:p>
              </w:tc>
              <w:tc>
                <w:tcPr/>
                <w:p>
                  <w:pPr>
                    <w:pStyle w:val="Compact"/>
                    <w:jc w:val="left"/>
                    <w:jc w:val="center"/>
                  </w:pPr>
                  <w:r>
                    <w:t xml:space="preserve">cellular communication</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 (i.e., response option = no)</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Date/time of communication</w:t>
                  </w:r>
                </w:p>
              </w:tc>
              <w:tc>
                <w:tcPr/>
                <w:p>
                  <w:pPr>
                    <w:pStyle w:val="Compact"/>
                    <w:jc w:val="left"/>
                    <w:jc w:val="center"/>
                  </w:pPr>
                  <w:r>
                    <w:t xml:space="preserve">cellular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pm-6am) and on weekends (Friday-Saturday)</w:t>
                  </w:r>
                </w:p>
              </w:tc>
              <w:tc>
                <w:tcPr/>
                <w:p>
                  <w:pPr>
                    <w:pStyle w:val="Compact"/>
                    <w:jc w:val="left"/>
                    <w:jc w:val="center"/>
                  </w:pPr>
                  <w:r>
                    <w:t xml:space="preserve">24 hours and 1 week (only 1 week used for weekend features)</w:t>
                  </w:r>
                </w:p>
              </w:tc>
              <w:tc>
                <w:tcPr/>
                <w:p>
                  <w:pPr>
                    <w:pStyle w:val="Compact"/>
                    <w:jc w:val="right"/>
                    <w:jc w:val="center"/>
                  </w:pPr>
                  <w:r>
                    <w:t xml:space="preserve">12</w:t>
                  </w:r>
                </w:p>
              </w:tc>
            </w:tr>
            <w:tr>
              <w:tc>
                <w:tcPr/>
                <w:p>
                  <w:pPr>
                    <w:pStyle w:val="Compact"/>
                    <w:jc w:val="left"/>
                    <w:jc w:val="center"/>
                  </w:pPr>
                  <w:r>
                    <w:t xml:space="preserve">Phone number</w:t>
                  </w:r>
                </w:p>
              </w:tc>
              <w:tc>
                <w:tcPr/>
                <w:p>
                  <w:pPr>
                    <w:pStyle w:val="Compact"/>
                    <w:jc w:val="left"/>
                    <w:jc w:val="center"/>
                  </w:pPr>
                  <w:r>
                    <w:t xml:space="preserve">cellular communication</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Type of Relationship</w:t>
                  </w:r>
                </w:p>
              </w:tc>
              <w:tc>
                <w:tcPr/>
                <w:p>
                  <w:pPr>
                    <w:pStyle w:val="Compact"/>
                    <w:jc w:val="left"/>
                    <w:jc w:val="center"/>
                  </w:pPr>
                  <w:r>
                    <w:t xml:space="preserve">cellular communication</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Have you drank alcohol with this person?</w:t>
                  </w:r>
                </w:p>
              </w:tc>
              <w:tc>
                <w:tcPr/>
                <w:p>
                  <w:pPr>
                    <w:pStyle w:val="Compact"/>
                    <w:jc w:val="left"/>
                    <w:jc w:val="center"/>
                  </w:pPr>
                  <w:r>
                    <w:t xml:space="preserve">cellular communication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What is their drinking status?</w:t>
                  </w:r>
                </w:p>
              </w:tc>
              <w:tc>
                <w:tcPr/>
                <w:p>
                  <w:pPr>
                    <w:pStyle w:val="Compact"/>
                    <w:jc w:val="left"/>
                    <w:jc w:val="center"/>
                  </w:pPr>
                  <w:r>
                    <w:t xml:space="preserve">cellular communication</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Would you expect them to drink in your presence?</w:t>
                  </w:r>
                </w:p>
              </w:tc>
              <w:tc>
                <w:tcPr/>
                <w:p>
                  <w:pPr>
                    <w:pStyle w:val="Compact"/>
                    <w:jc w:val="left"/>
                    <w:jc w:val="center"/>
                  </w:pPr>
                  <w:r>
                    <w:t xml:space="preserve">cellular communication</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currently in recovery from drugs or alcohol?</w:t>
                  </w:r>
                </w:p>
              </w:tc>
              <w:tc>
                <w:tcPr/>
                <w:p>
                  <w:pPr>
                    <w:pStyle w:val="Compact"/>
                    <w:jc w:val="left"/>
                    <w:jc w:val="center"/>
                  </w:pPr>
                  <w:r>
                    <w:t xml:space="preserve">cellular communication</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supportive about your recovery goals?</w:t>
                  </w:r>
                </w:p>
              </w:tc>
              <w:tc>
                <w:tcPr/>
                <w:p>
                  <w:pPr>
                    <w:pStyle w:val="Compact"/>
                    <w:jc w:val="left"/>
                    <w:jc w:val="center"/>
                  </w:pPr>
                  <w:r>
                    <w:t xml:space="preserve">cellular communication</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20</w:t>
                  </w:r>
                </w:p>
              </w:tc>
            </w:tr>
            <w:tr>
              <w:tc>
                <w:tcPr/>
                <w:p>
                  <w:pPr>
                    <w:pStyle w:val="Compact"/>
                    <w:jc w:val="left"/>
                    <w:jc w:val="center"/>
                  </w:pPr>
                  <w:r>
                    <w:t xml:space="preserve">How are your typical experiences with this person?</w:t>
                  </w:r>
                </w:p>
              </w:tc>
              <w:tc>
                <w:tcPr/>
                <w:p>
                  <w:pPr>
                    <w:pStyle w:val="Compact"/>
                    <w:jc w:val="left"/>
                    <w:jc w:val="center"/>
                  </w:pPr>
                  <w:r>
                    <w:t xml:space="preserve">cellular communication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Age</w:t>
                  </w:r>
                </w:p>
              </w:tc>
              <w:tc>
                <w:tcPr/>
                <w:p>
                  <w:pPr>
                    <w:pStyle w:val="Compact"/>
                    <w:jc w:val="left"/>
                    <w:jc w:val="center"/>
                  </w:pPr>
                  <w:r>
                    <w:t xml:space="preserve">demographics</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Sex at birth</w:t>
                  </w:r>
                </w:p>
              </w:tc>
              <w:tc>
                <w:tcPr/>
                <w:p>
                  <w:pPr>
                    <w:pStyle w:val="Compact"/>
                    <w:jc w:val="left"/>
                    <w:jc w:val="center"/>
                  </w:pPr>
                  <w:r>
                    <w:t xml:space="preserve">demographics</w:t>
                  </w:r>
                </w:p>
              </w:tc>
              <w:tc>
                <w:tcPr/>
                <w:p>
                  <w:pPr>
                    <w:pStyle w:val="Compact"/>
                    <w:jc w:val="left"/>
                    <w:jc w:val="center"/>
                  </w:pPr>
                  <w:r>
                    <w:t xml:space="preserve">Male, female</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Race</w:t>
                  </w:r>
                </w:p>
              </w:tc>
              <w:tc>
                <w:tcPr/>
                <w:p>
                  <w:pPr>
                    <w:pStyle w:val="Compact"/>
                    <w:jc w:val="left"/>
                    <w:jc w:val="center"/>
                  </w:pPr>
                  <w:r>
                    <w:t xml:space="preserve">demographics</w:t>
                  </w:r>
                </w:p>
              </w:tc>
              <w:tc>
                <w:tcPr/>
                <w:p>
                  <w:pPr>
                    <w:pStyle w:val="Compact"/>
                    <w:jc w:val="left"/>
                    <w:jc w:val="center"/>
                  </w:pPr>
                  <w:r>
                    <w:t xml:space="preserve">Non-Hispanic White, non-White and/or Hispanic</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Education</w:t>
                  </w:r>
                </w:p>
              </w:tc>
              <w:tc>
                <w:tcPr/>
                <w:p>
                  <w:pPr>
                    <w:pStyle w:val="Compact"/>
                    <w:jc w:val="left"/>
                    <w:jc w:val="center"/>
                  </w:pPr>
                  <w:r>
                    <w:t xml:space="preserve">demographics</w:t>
                  </w:r>
                </w:p>
              </w:tc>
              <w:tc>
                <w:tcPr/>
                <w:p>
                  <w:pPr>
                    <w:pStyle w:val="Compact"/>
                    <w:jc w:val="left"/>
                    <w:jc w:val="center"/>
                  </w:pPr>
                  <w:r>
                    <w:t xml:space="preserve">High school or less, some college, college degree</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Income</w:t>
                  </w:r>
                </w:p>
              </w:tc>
              <w:tc>
                <w:tcPr/>
                <w:p>
                  <w:pPr>
                    <w:pStyle w:val="Compact"/>
                    <w:jc w:val="left"/>
                    <w:jc w:val="center"/>
                  </w:pPr>
                  <w:r>
                    <w:t xml:space="preserve">demographics</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Marital Status</w:t>
                  </w:r>
                </w:p>
              </w:tc>
              <w:tc>
                <w:tcPr/>
                <w:p>
                  <w:pPr>
                    <w:pStyle w:val="Compact"/>
                    <w:jc w:val="left"/>
                    <w:jc w:val="center"/>
                  </w:pPr>
                  <w:r>
                    <w:t xml:space="preserve">demographics</w:t>
                  </w:r>
                </w:p>
              </w:tc>
              <w:tc>
                <w:tcPr/>
                <w:p>
                  <w:pPr>
                    <w:pStyle w:val="Compact"/>
                    <w:jc w:val="left"/>
                    <w:jc w:val="center"/>
                  </w:pPr>
                  <w:r>
                    <w:t xml:space="preserve">Married, not married, other</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DSM-5 symptom count</w:t>
                  </w:r>
                </w:p>
              </w:tc>
              <w:tc>
                <w:tcPr/>
                <w:p>
                  <w:pPr>
                    <w:pStyle w:val="Compact"/>
                    <w:jc w:val="left"/>
                    <w:jc w:val="center"/>
                  </w:pPr>
                  <w:r>
                    <w:t xml:space="preserve">alcohol use</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Craving</w:t>
                  </w:r>
                </w:p>
              </w:tc>
              <w:tc>
                <w:tcPr/>
                <w:p>
                  <w:pPr>
                    <w:pStyle w:val="Compact"/>
                    <w:jc w:val="left"/>
                    <w:jc w:val="center"/>
                  </w:pPr>
                  <w:r>
                    <w:t xml:space="preserve">alcohol use</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alcohol use</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self-help group meetings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Confidence in abstinence ability (next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Has a goal of abstinence</w:t>
                  </w:r>
                </w:p>
              </w:tc>
              <w:tc>
                <w:tcPr/>
                <w:p>
                  <w:pPr>
                    <w:pStyle w:val="Compact"/>
                    <w:jc w:val="left"/>
                    <w:jc w:val="center"/>
                  </w:pPr>
                  <w:r>
                    <w:t xml:space="preserve">alcohol use</w:t>
                  </w:r>
                </w:p>
              </w:tc>
              <w:tc>
                <w:tcPr/>
                <w:p>
                  <w:pPr>
                    <w:pStyle w:val="Compact"/>
                    <w:jc w:val="left"/>
                    <w:jc w:val="center"/>
                  </w:pPr>
                  <w:r>
                    <w:t xml:space="preserve">Yes, no, uncertain</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Personality dimensions (positive emotionality, negative emotionality, and constraint)</w:t>
                  </w:r>
                </w:p>
              </w:tc>
              <w:tc>
                <w:tcPr/>
                <w:p>
                  <w:pPr>
                    <w:pStyle w:val="Compact"/>
                    <w:jc w:val="left"/>
                    <w:jc w:val="center"/>
                  </w:pPr>
                  <w:r>
                    <w:t xml:space="preserve">personality and 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Psychiatric conditions (depression, anxiety, and stress)</w:t>
                  </w:r>
                </w:p>
              </w:tc>
              <w:tc>
                <w:tcPr/>
                <w:p>
                  <w:pPr>
                    <w:pStyle w:val="Compact"/>
                    <w:jc w:val="left"/>
                    <w:jc w:val="center"/>
                  </w:pPr>
                  <w:r>
                    <w:t xml:space="preserve">personality and 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two feature scoring epochs (24 hours and 1 week before the start of the prediction window). Within each feature scoring epoch we calculated two types of features: raw and difference features. Raw features represent the raw feature value calculated within a scoring epoch (e.g., the rate count of text messages during the 24 hours immediately preceding the start of the prediction window). Difference features capture participant-level changes from their baseline scores (e.g., the participant’s average rate count of text messages across all time on study subtracted from the rate count in the preceding 24 hours).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1: Raw Predictors, Response Options, Feature Engineering Methods, Feature Scoring Epochs and Total Number of Features for each feature set.</w:t>
            </w:r>
          </w:p>
          <w:bookmarkEnd w:id="16"/>
        </w:tc>
      </w:tr>
    </w:tbl>
    <w:p>
      <w:pPr>
        <w:pStyle w:val="BodyText"/>
      </w:pPr>
      <w:r>
        <w:rPr>
          <w:vertAlign w:val="subscript"/>
        </w:rPr>
        <w:t xml:space="preserve">Source:</w:t>
      </w:r>
      <w:r>
        <w:rPr>
          <w:vertAlign w:val="subscript"/>
        </w:rPr>
        <w:t xml:space="preserve"> </w:t>
      </w:r>
      <w:hyperlink r:id="rId17">
        <w:r>
          <w:rPr>
            <w:rStyle w:val="Hyperlink"/>
            <w:vertAlign w:val="subscript"/>
          </w:rPr>
          <w:t xml:space="preserve">Make All Tables for Main Manuscript</w:t>
        </w:r>
      </w:hyperlink>
    </w:p>
    <w:bookmarkEnd w:id="18"/>
    <w:bookmarkStart w:id="19" w:name="model-selection"/>
    <w:p>
      <w:pPr>
        <w:pStyle w:val="Heading3"/>
      </w:pPr>
      <w:r>
        <w:t xml:space="preserve">Model Selection</w:t>
      </w:r>
    </w:p>
    <w:p>
      <w:pPr>
        <w:pStyle w:val="FirstParagraph"/>
      </w:pPr>
      <w:r>
        <w:t xml:space="preserve">We included three candidate statistical algorithms in our model configurations: elastic net, random forest, and XGBoost. These algorithms differ in key ways related to flexibility, complexity, and their ability to accommodate non-linear and interactive relationships between features and lapse probability. Random forest and XGBoost algorithms can natively handle interactions, whereas elastic net assumes an additive data generating process. Thus, if true interactions exist between features, we would expect one of these tree-based methods to yield the best performance. However, if relationships are primarily additive, elastic net may perform better. Model configurations also differed on outcome resampling method (i.e., up-sampling and down-sampling of the outcome at ratios ranging from 5:1 to 1:1), hyperparameter values, and feature set.</w:t>
      </w:r>
    </w:p>
    <w:p>
      <w:pPr>
        <w:pStyle w:val="BodyText"/>
      </w:pPr>
      <w:r>
        <w:t xml:space="preserve">We selected three final models. We selected the best performing full model that included all four feature sets (cellular communications, demographics, alcohol use characteristics, and psychiatric/personality characteristics). Because our feature set of interest was cellular communications we only selected configurations that retained this feature set. We selected the best performing baseline model that included our three baseline feature sets (demographics, alcohol use characteristics, and psychiatric/personality characteristics) to assess the incremental predictive value of cellular communication beyond these baseline measures. Finally, we selected the best performing cellular communication model that included only the cellular communication feature set to evaluate the predictive signal captured in these features.</w:t>
      </w:r>
    </w:p>
    <w:p>
      <w:pPr>
        <w:pStyle w:val="BodyText"/>
      </w:pPr>
      <w:r>
        <w:t xml:space="preserve">The best configuration for each of these models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bookmarkEnd w:id="19"/>
    <w:bookmarkStart w:id="20" w:name="model-evaluation"/>
    <w:p>
      <w:pPr>
        <w:pStyle w:val="Heading3"/>
      </w:pPr>
      <w:r>
        <w:t xml:space="preserve">Model Evaluation</w:t>
      </w:r>
    </w:p>
    <w:p>
      <w:pPr>
        <w:pStyle w:val="FirstParagraph"/>
      </w:pPr>
      <w:r>
        <w:t xml:space="preserve">We evaluated model performance for our three final models (full model, baseline model, cellular communication model) using a Bayesian hierarchical generalized linear model. Posterior distributions with 95% credible intervals (CI) were estimated from the 30 held-out folds using weakly informative, data-dependent priors to regularize and reduce overfitting: Residual SD ~ normal(0, exp(2)); intercept (centered predictors) ~ normal(2.3, 1.3); window-width contrasts ~ normal(0, 2.69); covariance ~ decov(1,1,1,1). Random intercepts were included for repeat and fold (nested within repeat). auROCs were logit-transformed and regressed on model type to estimate the probability that model performances differed systematically. We reported the median posterior auROC and 95% CI for each model. We also specified two sets of contrasts for model comparisons: full model vs. baseline model and cellular communication model vs. a hypothetical model performing at chance (i.e., where auROC’s are 0.5 in all 30 test sets).</w:t>
      </w:r>
    </w:p>
    <w:p>
      <w:pPr>
        <w:pStyle w:val="BodyText"/>
      </w:pPr>
      <w:r>
        <w:t xml:space="preserve">We refit our full and cellular communication models on the entire data set to identify the most important features. We quantified feature importance by examining the retained features (i.e., coefficient value &gt; 0) in our final elastic net model and ordering them by absolute coefficient value. These values provide an estimate of the direction and magnitude of association between each predictor and the outcome, conditional on the other features retained. We plotted coefficients for both models to visualize whether descriptive differences in retained cellular communication features existed when controlling for other baseline features compared to not controlling for baseline features.</w:t>
      </w:r>
    </w:p>
    <w:bookmarkEnd w:id="20"/>
    <w:bookmarkEnd w:id="21"/>
    <w:bookmarkEnd w:id="22"/>
    <w:bookmarkStart w:id="33" w:name="results"/>
    <w:p>
      <w:pPr>
        <w:pStyle w:val="Heading1"/>
      </w:pPr>
      <w:r>
        <w:t xml:space="preserve">Results</w:t>
      </w:r>
    </w:p>
    <w:bookmarkStart w:id="25" w:name="participants"/>
    <w:p>
      <w:pPr>
        <w:pStyle w:val="Heading2"/>
      </w:pPr>
      <w:r>
        <w:t xml:space="preserve">Participants</w:t>
      </w:r>
    </w:p>
    <w:p>
      <w:pPr>
        <w:pStyle w:val="FirstParagraph"/>
      </w:pPr>
      <w:r>
        <w:t xml:space="preserve">We enrolled 169 participants. Of these, 151 completed the first follow-up visit where the first cellular communication log download occurred. We excluded data from seven participants due to poor compliance providing communication data (i.e., deleting logs prior to the download 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2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2: Demographic Characterization</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Tables for Main Manuscript</w:t>
        </w:r>
      </w:hyperlink>
    </w:p>
    <w:bookmarkEnd w:id="25"/>
    <w:bookmarkStart w:id="2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26"/>
    <w:bookmarkStart w:id="32" w:name="model-evaluation-1"/>
    <w:p>
      <w:pPr>
        <w:pStyle w:val="Heading2"/>
      </w:pPr>
      <w:r>
        <w:t xml:space="preserve">Model Evaluation</w:t>
      </w:r>
    </w:p>
    <w:p>
      <w:pPr>
        <w:pStyle w:val="FirstParagraph"/>
      </w:pPr>
      <w:r>
        <w:t xml:space="preserve">The median posterior auROC for the best performing full model was 0.67, 95% CI [0.64, 0.7]. The final model fit on the full data set retained 10 features (left panel of</w:t>
      </w:r>
      <w:r>
        <w:t xml:space="preserve"> </w:t>
      </w:r>
      <w:hyperlink w:anchor="fig-1">
        <w:r>
          <w:rPr>
            <w:rStyle w:val="Hyperlink"/>
          </w:rPr>
          <w:t xml:space="preserve">Figure 1</w:t>
        </w:r>
      </w:hyperlink>
      <w:r>
        <w:t xml:space="preserve">). The top four were baseline alcohol use characteristics. Two of these (abstinence confidence and having a goal of abstinence) emerged as important protective factors. Abstinence self-efficacy when experiencing negative affect and craving emerged as important risk factors. Communication features were also retained in the final model. Specifically, frequency of communications with drinkers, friends, and people unaware of the individual’s recovery goals emerged as important risk factors. Frequency of communications with non-drinkers, conversely, was an important protective factor.</w:t>
      </w:r>
    </w:p>
    <w:p>
      <w:pPr>
        <w:pStyle w:val="BodyText"/>
      </w:pPr>
      <w:r>
        <w:t xml:space="preserve">We conducted a model comparison between the full model and a model that only considered baseline measures (alcohol use characteristics, demographics, and psychiatric and personality characteristics) to assess the incremental predictive value of cellular communication features beyond these baseline measures. The baseline model achieved slightly higher performance compared to the full model (median auROC = 0.69, 95% CI [0.66, 0.71]). However, this median difference in auROC was only .01 and the bayesian model comparison showed weak evidence (73% probability) that the baseline model performed better than the full model.</w:t>
      </w:r>
    </w:p>
    <w:p>
      <w:pPr>
        <w:pStyle w:val="BodyText"/>
      </w:pPr>
      <w:r>
        <w:t xml:space="preserve">Finally, our best performing model that included only cellular communication features achieved a median auROC of 0.59. The 95% CI ([0.55, 0.62]) did not contain .5. There was strong evidence that this model is performing above chance performance (100% probability) and thus capturing some signal in the data. To better understand which features are capturing this signal, we examined the retained features in the best cellular communication model fit on the full data set. This model retained four features: frequency of communications with friends, people unaware of the individual’s recovery goals, drinkers, and non-drinkers. These four features were also retained in the full model. In the right panel of</w:t>
      </w:r>
      <w:r>
        <w:t xml:space="preserve"> </w:t>
      </w:r>
      <w:hyperlink w:anchor="fig-1">
        <w:r>
          <w:rPr>
            <w:rStyle w:val="Hyperlink"/>
          </w:rPr>
          <w:t xml:space="preserve">Figure 1</w:t>
        </w:r>
      </w:hyperlink>
      <w:r>
        <w:t xml:space="preserve"> </w:t>
      </w:r>
      <w:r>
        <w:t xml:space="preserve">we display the magnitude of the coefficients for these features when the model does not control for other retained baseline measures.</w:t>
      </w:r>
    </w:p>
    <w:tbl>
      <w:tblPr>
        <w:tblStyle w:val="Table"/>
        <w:tblW w:type="pct" w:w="5000"/>
        <w:tblLayout w:type="fixed"/>
        <w:tblLook w:firstRow="0" w:lastRow="0" w:firstColumn="0" w:lastColumn="0" w:noHBand="0" w:noVBand="0" w:val="0000"/>
      </w:tblPr>
      <w:tblGrid>
        <w:gridCol w:w="7920"/>
      </w:tblGrid>
      <w:tr>
        <w:tc>
          <w:tcPr/>
          <w:bookmarkStart w:id="30" w:name="fig-1"/>
          <w:p>
            <w:pPr>
              <w:pStyle w:val="Compact"/>
              <w:jc w:val="center"/>
            </w:pPr>
            <w:r>
              <w:drawing>
                <wp:inline>
                  <wp:extent cx="5334000" cy="3333749"/>
                  <wp:effectExtent b="0" l="0" r="0" t="0"/>
                  <wp:docPr descr="" title="" id="28" name="Picture"/>
                  <a:graphic>
                    <a:graphicData uri="http://schemas.openxmlformats.org/drawingml/2006/picture">
                      <pic:pic>
                        <pic:nvPicPr>
                          <pic:cNvPr descr="index_files/figure-docx/notebooks-mak_figures-fig-1-output-1.png" id="29" name="Picture"/>
                          <pic:cNvPicPr>
                            <a:picLocks noChangeArrowheads="1" noChangeAspect="1"/>
                          </pic:cNvPicPr>
                        </pic:nvPicPr>
                        <pic:blipFill>
                          <a:blip r:embed="rId2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Global feature importance (elastic net coefficient) for the full and cellular communicatioin models. Features are ordered by absolute coefficient value. Bars with positive coefficient values (in blue) represent features that, on average, lower lapse risk. Bars with negative coefficient values (in salmon) represent features that, on average, increase risk. Alcohol use features were collected via self-report measures at baseline. Communication features were engineered from the contextualized cellular communications.</w:t>
            </w:r>
          </w:p>
          <w:bookmarkEnd w:id="30"/>
        </w:tc>
      </w:tr>
    </w:tbl>
    <w:p>
      <w:pPr>
        <w:pStyle w:val="BodyText"/>
      </w:pPr>
      <w:r>
        <w:rPr>
          <w:vertAlign w:val="subscript"/>
        </w:rPr>
        <w:t xml:space="preserve">Source:</w:t>
      </w:r>
      <w:r>
        <w:rPr>
          <w:vertAlign w:val="subscript"/>
        </w:rPr>
        <w:t xml:space="preserve"> </w:t>
      </w:r>
      <w:hyperlink r:id="rId31">
        <w:r>
          <w:rPr>
            <w:rStyle w:val="Hyperlink"/>
            <w:vertAlign w:val="subscript"/>
          </w:rPr>
          <w:t xml:space="preserve">Make All Figures for Main Manuscript</w:t>
        </w:r>
      </w:hyperlink>
    </w:p>
    <w:bookmarkEnd w:id="32"/>
    <w:bookmarkEnd w:id="33"/>
    <w:bookmarkStart w:id="34" w:name="discussion"/>
    <w:p>
      <w:pPr>
        <w:pStyle w:val="Heading1"/>
      </w:pPr>
      <w:r>
        <w:t xml:space="preserve">Discussion</w:t>
      </w:r>
    </w:p>
    <w:p>
      <w:pPr>
        <w:pStyle w:val="FirstParagraph"/>
      </w:pPr>
      <w:r>
        <w:t xml:space="preserve">Our model achieved fair performance, with an auROC of 0.67, indicating that some predictive signal was present. However, it did not offer incremental value beyond a baseline model that included only baseline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[21]</w:t>
      </w:r>
      <w:r>
        <w:t xml:space="preserve">. Therefore, our dataset likely missed a substantial portion of participants’ communications. Future studies could explore whether incorporating communication data from additional platforms yields stronger predictive signal. However, even with improved data collection methods, sparsity may remain a challenge, as some people may simply not communicate frequently with others and others use services (e.g., Snapchat) that automatically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[22]</w:t>
      </w:r>
      <w:r>
        <w:t xml:space="preserve"> </w:t>
      </w:r>
      <w:r>
        <w:t xml:space="preserve">and predict future</w:t>
      </w:r>
      <w:r>
        <w:t xml:space="preserve"> </w:t>
      </w:r>
      <w:r>
        <w:t xml:space="preserve">[23]</w:t>
      </w:r>
      <w:r>
        <w:t xml:space="preserve"> </w:t>
      </w:r>
      <w:r>
        <w:t xml:space="preserve">heavy drinking episondes in non-treatment seeking young adult populations. It is possible that in certain populations cellular communications may hold more signal. Young adults may have more frequent communication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34"/>
    <w:bookmarkStart w:id="35" w:name="acknowledgments"/>
    <w:p>
      <w:pPr>
        <w:pStyle w:val="Heading1"/>
      </w:pPr>
      <w:r>
        <w:t xml:space="preserve">Acknowledgments</w:t>
      </w:r>
    </w:p>
    <w:p>
      <w:pPr>
        <w:pStyle w:val="FirstParagraph"/>
      </w:pPr>
      <w:r>
        <w:t xml:space="preserve">The authors wish to thank Susan E. Wanta for her role as the project administrator.</w:t>
      </w:r>
    </w:p>
    <w:bookmarkEnd w:id="35"/>
    <w:bookmarkStart w:id="36"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36"/>
    <w:bookmarkStart w:id="37" w:name="declaration-of-conflicting-interest"/>
    <w:p>
      <w:pPr>
        <w:pStyle w:val="Heading1"/>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37"/>
    <w:bookmarkStart w:id="38" w:name="funding"/>
    <w:p>
      <w:pPr>
        <w:pStyle w:val="Heading1"/>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38"/>
    <w:bookmarkStart w:id="39" w:name="data-availability"/>
    <w:p>
      <w:pPr>
        <w:pStyle w:val="Heading1"/>
      </w:pPr>
      <w:r>
        <w:t xml:space="preserve">Data Availability</w:t>
      </w:r>
    </w:p>
    <w:p>
      <w:pPr>
        <w:pStyle w:val="FirstParagraph"/>
      </w:pPr>
      <w:r>
        <w:t xml:space="preserve">Our de-identified data, questionnaires, and other study materials are publicly available on our OSF page (</w:t>
      </w:r>
      <w:hyperlink r:id="rId11">
        <w:r>
          <w:rPr>
            <w:rStyle w:val="Hyperlink"/>
          </w:rPr>
          <w:t xml:space="preserve">https://osf.io/wgpz9/</w:t>
        </w:r>
      </w:hyperlink>
      <w:r>
        <w:t xml:space="preserve">).</w:t>
      </w:r>
    </w:p>
    <w:p>
      <w:r>
        <w:br w:type="page"/>
      </w:r>
    </w:p>
    <w:bookmarkEnd w:id="39"/>
    <w:bookmarkStart w:id="81" w:name="references"/>
    <w:p>
      <w:pPr>
        <w:pStyle w:val="Heading1"/>
      </w:pPr>
      <w:r>
        <w:t xml:space="preserve">References</w:t>
      </w:r>
    </w:p>
    <w:bookmarkStart w:id="80" w:name="refs"/>
    <w:bookmarkStart w:id="41"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40">
        <w:r>
          <w:rPr>
            <w:rStyle w:val="Hyperlink"/>
          </w:rPr>
          <w:t xml:space="preserve">10.1001/jama.284.13.1689</w:t>
        </w:r>
      </w:hyperlink>
    </w:p>
    <w:bookmarkEnd w:id="41"/>
    <w:bookmarkStart w:id="43" w:name="ref-dennisManagingAddictionChronic2007"/>
    <w:p>
      <w:pPr>
        <w:pStyle w:val="Bibliography"/>
      </w:pPr>
      <w:r>
        <w:t xml:space="preserve">2.</w:t>
      </w:r>
      <w:r>
        <w:t xml:space="preserve"> </w:t>
      </w:r>
      <w:r>
        <w:t xml:space="preserve">	</w:t>
      </w:r>
      <w:r>
        <w:t xml:space="preserve">Dennis M, Scott CK.</w:t>
      </w:r>
      <w:r>
        <w:t xml:space="preserve"> </w:t>
      </w:r>
      <w:hyperlink r:id="rId42">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43"/>
    <w:bookmarkStart w:id="44" w:name="ref-rounsavilleLapseRelapseChasing2010"/>
    <w:p>
      <w:pPr>
        <w:pStyle w:val="Bibliography"/>
      </w:pPr>
      <w:r>
        <w:t xml:space="preserve">3.</w:t>
      </w:r>
      <w:r>
        <w:t xml:space="preserve"> </w:t>
      </w:r>
      <w:r>
        <w:t xml:space="preserve">	</w:t>
      </w:r>
      <w:r>
        <w:t xml:space="preserve">Rounsaville DB. Lapse,</w:t>
      </w:r>
      <w:r>
        <w:t xml:space="preserve"> </w:t>
      </w:r>
      <w:r>
        <w:t xml:space="preserve">Relapse</w:t>
      </w:r>
      <w:r>
        <w:t xml:space="preserve">, and</w:t>
      </w:r>
      <w:r>
        <w:t xml:space="preserve"> </w:t>
      </w:r>
      <w:r>
        <w:t xml:space="preserve">Chasing</w:t>
      </w:r>
      <w:r>
        <w:t xml:space="preserve"> </w:t>
      </w:r>
      <w:r>
        <w:t xml:space="preserve">the</w:t>
      </w:r>
      <w:r>
        <w:t xml:space="preserve"> </w:t>
      </w:r>
      <w:r>
        <w:t xml:space="preserve">Wagon</w:t>
      </w:r>
      <w:r>
        <w:t xml:space="preserve">:</w:t>
      </w:r>
      <w:r>
        <w:t xml:space="preserve"> </w:t>
      </w:r>
      <w:r>
        <w:t xml:space="preserve">Post-Treatment Drinking</w:t>
      </w:r>
      <w:r>
        <w:t xml:space="preserve"> </w:t>
      </w:r>
      <w:r>
        <w:t xml:space="preserve">and</w:t>
      </w:r>
      <w:r>
        <w:t xml:space="preserve"> </w:t>
      </w:r>
      <w:r>
        <w:t xml:space="preserve">Recovery</w:t>
      </w:r>
      <w:r>
        <w:t xml:space="preserve">. PhD thesis, University of Maryland, Baltimore County. 2010.</w:t>
      </w:r>
      <w:r>
        <w:t xml:space="preserve"> </w:t>
      </w:r>
    </w:p>
    <w:bookmarkEnd w:id="44"/>
    <w:bookmarkStart w:id="45" w:name="X0900e084d2d8751b94683f82b04534ea811d54e"/>
    <w:p>
      <w:pPr>
        <w:pStyle w:val="Bibliography"/>
      </w:pPr>
      <w:r>
        <w:t xml:space="preserve">4.</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45"/>
    <w:bookmarkStart w:id="46" w:name="ref-marlattRelapsePreventionSecond2007"/>
    <w:p>
      <w:pPr>
        <w:pStyle w:val="Bibliography"/>
      </w:pPr>
      <w:r>
        <w:t xml:space="preserve">5.</w:t>
      </w:r>
      <w:r>
        <w:t xml:space="preserve"> </w:t>
      </w:r>
      <w:r>
        <w:t xml:space="preserve">	</w:t>
      </w:r>
      <w:r>
        <w:t xml:space="preserve">Marlatt GA, Donovan DM, editors. Relapse</w:t>
      </w:r>
      <w:r>
        <w:t xml:space="preserve"> </w:t>
      </w:r>
      <w:r>
        <w:t xml:space="preserve">Prevention</w:t>
      </w:r>
      <w:r>
        <w:t xml:space="preserve">,</w:t>
      </w:r>
      <w:r>
        <w:t xml:space="preserve"> </w:t>
      </w:r>
      <w:r>
        <w:t xml:space="preserve">Second Edition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2nd edition. New York London: The Guilford Press; 2007.</w:t>
      </w:r>
      <w:r>
        <w:t xml:space="preserve"> </w:t>
      </w:r>
    </w:p>
    <w:bookmarkEnd w:id="46"/>
    <w:bookmarkStart w:id="48" w:name="ref-daleyReducingRiskRelapse2019"/>
    <w:p>
      <w:pPr>
        <w:pStyle w:val="Bibliography"/>
      </w:pPr>
      <w:r>
        <w:t xml:space="preserve">6.</w:t>
      </w:r>
      <w:r>
        <w:t xml:space="preserve"> </w:t>
      </w:r>
      <w:r>
        <w:t xml:space="preserve">	</w:t>
      </w:r>
      <w:r>
        <w:t xml:space="preserve">Daley DC, Douaihy A. Reducing the</w:t>
      </w:r>
      <w:r>
        <w:t xml:space="preserve"> </w:t>
      </w:r>
      <w:r>
        <w:t xml:space="preserve">Risk</w:t>
      </w:r>
      <w:r>
        <w:t xml:space="preserve"> </w:t>
      </w:r>
      <w:r>
        <w:t xml:space="preserve">of</w:t>
      </w:r>
      <w:r>
        <w:t xml:space="preserve"> </w:t>
      </w:r>
      <w:r>
        <w:t xml:space="preserve">Relapse</w:t>
      </w:r>
      <w:r>
        <w:t xml:space="preserve">. In: Daley DC, Douaihy AB, Daley DC, Douaihy A, editors. Managing</w:t>
      </w:r>
      <w:r>
        <w:t xml:space="preserve"> </w:t>
      </w:r>
      <w:r>
        <w:t xml:space="preserve">Substance Use Disorder</w:t>
      </w:r>
      <w:r>
        <w:t xml:space="preserve">:</w:t>
      </w:r>
      <w:r>
        <w:t xml:space="preserve"> </w:t>
      </w:r>
      <w:r>
        <w:t xml:space="preserve">Practitioner Guide</w:t>
      </w:r>
      <w:r>
        <w:t xml:space="preserve">. Oxford University Press; 2019. p. 0. doi:</w:t>
      </w:r>
      <w:hyperlink r:id="rId47">
        <w:r>
          <w:rPr>
            <w:rStyle w:val="Hyperlink"/>
          </w:rPr>
          <w:t xml:space="preserve">10.1093/med-psych/9780190926717.003.0018</w:t>
        </w:r>
      </w:hyperlink>
    </w:p>
    <w:bookmarkEnd w:id="48"/>
    <w:bookmarkStart w:id="50" w:name="ref-clevelandRecoveryRecoveryCapital2021"/>
    <w:p>
      <w:pPr>
        <w:pStyle w:val="Bibliography"/>
      </w:pPr>
      <w:r>
        <w:t xml:space="preserve">7.</w:t>
      </w:r>
      <w:r>
        <w:t xml:space="preserve"> </w:t>
      </w:r>
      <w:r>
        <w:t xml:space="preserve">	</w:t>
      </w:r>
      <w:r>
        <w:t xml:space="preserve">Cleveland HH, Brick TR, Knapp KS, Croff JM.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Croff JM, Beaman J, editors. Family</w:t>
      </w:r>
      <w:r>
        <w:t xml:space="preserve"> </w:t>
      </w:r>
      <w:r>
        <w:t xml:space="preserve">Resilience</w:t>
      </w:r>
      <w:r>
        <w:t xml:space="preserve"> </w:t>
      </w:r>
      <w:r>
        <w:t xml:space="preserve">and</w:t>
      </w:r>
      <w:r>
        <w:t xml:space="preserve"> </w:t>
      </w:r>
      <w:r>
        <w:t xml:space="preserve">Recovery</w:t>
      </w:r>
      <w:r>
        <w:t xml:space="preserve"> </w:t>
      </w:r>
      <w:r>
        <w:t xml:space="preserve">from</w:t>
      </w:r>
      <w:r>
        <w:t xml:space="preserve"> </w:t>
      </w:r>
      <w:r>
        <w:t xml:space="preserve">Opioids</w:t>
      </w:r>
      <w:r>
        <w:t xml:space="preserve"> </w:t>
      </w:r>
      <w:r>
        <w:t xml:space="preserve">and</w:t>
      </w:r>
      <w:r>
        <w:t xml:space="preserve"> </w:t>
      </w:r>
      <w:r>
        <w:t xml:space="preserve">Other Addictions</w:t>
      </w:r>
      <w:r>
        <w:t xml:space="preserve">. Cham: Springer International Publishing; 2021. pp. 109–128. doi:</w:t>
      </w:r>
      <w:hyperlink r:id="rId49">
        <w:r>
          <w:rPr>
            <w:rStyle w:val="Hyperlink"/>
          </w:rPr>
          <w:t xml:space="preserve">10.1007/978-3-030-56958-7_6</w:t>
        </w:r>
      </w:hyperlink>
    </w:p>
    <w:bookmarkEnd w:id="50"/>
    <w:bookmarkStart w:id="52" w:name="ref-mohrPersonalSensingUnderstanding2017"/>
    <w:p>
      <w:pPr>
        <w:pStyle w:val="Bibliography"/>
      </w:pPr>
      <w:r>
        <w:t xml:space="preserve">8.</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51">
        <w:r>
          <w:rPr>
            <w:rStyle w:val="Hyperlink"/>
          </w:rPr>
          <w:t xml:space="preserve">10.1146/annurev-clinpsy-032816-044949</w:t>
        </w:r>
      </w:hyperlink>
    </w:p>
    <w:bookmarkEnd w:id="52"/>
    <w:bookmarkStart w:id="54" w:name="ref-chihPredictiveModelingAddiction2014"/>
    <w:p>
      <w:pPr>
        <w:pStyle w:val="Bibliography"/>
      </w:pPr>
      <w:r>
        <w:t xml:space="preserve">9.</w:t>
      </w:r>
      <w:r>
        <w:t xml:space="preserve"> </w:t>
      </w:r>
      <w:r>
        <w:t xml:space="preserve">	</w:t>
      </w:r>
      <w:r>
        <w:t xml:space="preserve">Chih M-Y, Patton T, McTavish FM, Isham AJ, Judkins-Fisher CL, Atwood AK, et al. Predictive modeling of addiction lapses in a mobile health application. Journal of Substance Abuse Treatment. 2014;46: 29–35. doi:</w:t>
      </w:r>
      <w:hyperlink r:id="rId53">
        <w:r>
          <w:rPr>
            <w:rStyle w:val="Hyperlink"/>
          </w:rPr>
          <w:t xml:space="preserve">10.1016/j.jsat.2013.08.004</w:t>
        </w:r>
      </w:hyperlink>
    </w:p>
    <w:bookmarkEnd w:id="54"/>
    <w:bookmarkStart w:id="56" w:name="ref-wyantMachineLearningModels2024"/>
    <w:p>
      <w:pPr>
        <w:pStyle w:val="Bibliography"/>
      </w:pPr>
      <w:r>
        <w:t xml:space="preserve">10.</w:t>
      </w:r>
      <w:r>
        <w:t xml:space="preserve"> </w:t>
      </w:r>
      <w:r>
        <w:t xml:space="preserve">	</w:t>
      </w:r>
      <w:r>
        <w:t xml:space="preserve">Wyant K, Sant’Ana SJ, Fronk GE, Curtin JJ. Machine learning models for temporally precise lapse prediction in alcohol use disorder. Journal of Psychopathology and Clinical Science. 2024;133: 527–540. doi:</w:t>
      </w:r>
      <w:hyperlink r:id="rId55">
        <w:r>
          <w:rPr>
            <w:rStyle w:val="Hyperlink"/>
          </w:rPr>
          <w:t xml:space="preserve">10.1037/abn0000901</w:t>
        </w:r>
      </w:hyperlink>
    </w:p>
    <w:bookmarkEnd w:id="56"/>
    <w:bookmarkStart w:id="57" w:name="Xd3cf5dced997940b3810fae8f5a19eca304449d"/>
    <w:p>
      <w:pPr>
        <w:pStyle w:val="Bibliography"/>
      </w:pPr>
      <w:r>
        <w:t xml:space="preserve">11.</w:t>
      </w:r>
      <w:r>
        <w:t xml:space="preserve"> </w:t>
      </w:r>
      <w:r>
        <w:t xml:space="preserve">	</w:t>
      </w:r>
      <w:r>
        <w:t xml:space="preserve">Wyant K, Fronk GE, Yu C, Punturieri CE, Curtin JJ.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 under review.</w:t>
      </w:r>
      <w:r>
        <w:t xml:space="preserve"> </w:t>
      </w:r>
    </w:p>
    <w:bookmarkEnd w:id="57"/>
    <w:bookmarkStart w:id="59" w:name="X9dfa929848d202736296032659cec14e42606bb"/>
    <w:p>
      <w:pPr>
        <w:pStyle w:val="Bibliography"/>
      </w:pPr>
      <w:r>
        <w:t xml:space="preserve">12.</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58">
        <w:r>
          <w:rPr>
            <w:rStyle w:val="Hyperlink"/>
          </w:rPr>
          <w:t xml:space="preserve">10/gfsjzg</w:t>
        </w:r>
      </w:hyperlink>
    </w:p>
    <w:bookmarkEnd w:id="59"/>
    <w:bookmarkStart w:id="61" w:name="Xb35ee182d565575e339a0170868456c1684f821"/>
    <w:p>
      <w:pPr>
        <w:pStyle w:val="Bibliography"/>
      </w:pPr>
      <w:r>
        <w:t xml:space="preserve">13.</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60">
        <w:r>
          <w:rPr>
            <w:rStyle w:val="Hyperlink"/>
          </w:rPr>
          <w:t xml:space="preserve">10.2196/41833</w:t>
        </w:r>
      </w:hyperlink>
    </w:p>
    <w:bookmarkEnd w:id="61"/>
    <w:bookmarkStart w:id="63" w:name="X126aebe61d5329fdf5f31356b05d81ee3379203"/>
    <w:p>
      <w:pPr>
        <w:pStyle w:val="Bibliography"/>
      </w:pPr>
      <w:r>
        <w:t xml:space="preserve">14.</w:t>
      </w:r>
      <w:r>
        <w:t xml:space="preserve"> </w:t>
      </w:r>
      <w:r>
        <w:t xml:space="preserve">	</w:t>
      </w:r>
      <w:r>
        <w:t xml:space="preserve">Aczel B, Szaszi B, Sarafoglou A, Kekecs Z, Kucharský Š, Benjamin D, et al.</w:t>
      </w:r>
      <w:r>
        <w:t xml:space="preserve"> A consensus-based transparency checklist. Nature Human Behaviour. 2019; 1–3. doi:</w:t>
      </w:r>
      <w:hyperlink r:id="rId62">
        <w:r>
          <w:rPr>
            <w:rStyle w:val="Hyperlink"/>
          </w:rPr>
          <w:t xml:space="preserve">10.1038/s41562-019-0772-6</w:t>
        </w:r>
      </w:hyperlink>
    </w:p>
    <w:bookmarkEnd w:id="63"/>
    <w:bookmarkStart w:id="64" w:name="ref-hsiehSampleSizeTables1989"/>
    <w:p>
      <w:pPr>
        <w:pStyle w:val="Bibliography"/>
      </w:pPr>
      <w:r>
        <w:t xml:space="preserve">15.</w:t>
      </w:r>
      <w:r>
        <w:t xml:space="preserve"> </w:t>
      </w:r>
      <w:r>
        <w:t xml:space="preserve">	</w:t>
      </w:r>
      <w:r>
        <w:t xml:space="preserve">Hsieh F. Sample size tables for logistic regression. Statistics in Medicine. 1989;8: 795–802.</w:t>
      </w:r>
      <w:r>
        <w:t xml:space="preserve"> </w:t>
      </w:r>
    </w:p>
    <w:bookmarkEnd w:id="64"/>
    <w:bookmarkStart w:id="65" w:name="ref-derogatislBriefSymptomInventory"/>
    <w:p>
      <w:pPr>
        <w:pStyle w:val="Bibliography"/>
      </w:pPr>
      <w:r>
        <w:t xml:space="preserve">16.</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65"/>
    <w:bookmarkStart w:id="67" w:name="X88039606d7b5c64f85ee8ea71703c6bdc3d9351"/>
    <w:p>
      <w:pPr>
        <w:pStyle w:val="Bibliography"/>
      </w:pPr>
      <w:r>
        <w:t xml:space="preserve">17.</w:t>
      </w:r>
      <w:r>
        <w:t xml:space="preserve"> </w:t>
      </w:r>
      <w:r>
        <w:t xml:space="preserve">	</w:t>
      </w:r>
      <w:r>
        <w:t xml:space="preserve">Patrick CJ, Curtin JJ, Tellegen A.</w:t>
      </w:r>
      <w:r>
        <w:t xml:space="preserve"> </w:t>
      </w:r>
      <w:hyperlink r:id="rId66">
        <w:r>
          <w:rPr>
            <w:rStyle w:val="Hyperlink"/>
          </w:rPr>
          <w:t xml:space="preserve">Development and validation of a brief form of the</w:t>
        </w:r>
        <w:r>
          <w:rPr>
            <w:rStyle w:val="Hyperlink"/>
          </w:rPr>
          <w:t xml:space="preserve"> </w:t>
        </w:r>
        <w:r>
          <w:rPr>
            <w:rStyle w:val="Hyperlink"/>
          </w:rPr>
          <w:t xml:space="preserve">Multidimensional Personality Questionnaire</w:t>
        </w:r>
      </w:hyperlink>
      <w:r>
        <w:t xml:space="preserve">. Psychological Assessment. 2002;14: 150–163.</w:t>
      </w:r>
      <w:r>
        <w:t xml:space="preserve"> </w:t>
      </w:r>
    </w:p>
    <w:bookmarkEnd w:id="67"/>
    <w:bookmarkStart w:id="69" w:name="X7237f3e8ec0394639ac33af78d4502788e325cb"/>
    <w:p>
      <w:pPr>
        <w:pStyle w:val="Bibliography"/>
      </w:pPr>
      <w:r>
        <w:t xml:space="preserve">18.</w:t>
      </w:r>
      <w:r>
        <w:t xml:space="preserve"> </w:t>
      </w:r>
      <w:r>
        <w:t xml:space="preserve">	</w:t>
      </w:r>
      <w:r>
        <w:t xml:space="preserve">Lovibond PF, Lovibond SH.</w:t>
      </w:r>
      <w:r>
        <w:t xml:space="preserve"> </w:t>
      </w:r>
      <w:hyperlink r:id="rId68">
        <w:r>
          <w:rPr>
            <w:rStyle w:val="Hyperlink"/>
          </w:rPr>
          <w:t xml:space="preserve">The structure of negative emotional states: Comparison of the</w:t>
        </w:r>
        <w:r>
          <w:rPr>
            <w:rStyle w:val="Hyperlink"/>
          </w:rPr>
          <w:t xml:space="preserve"> </w:t>
        </w:r>
        <w:r>
          <w:rPr>
            <w:rStyle w:val="Hyperlink"/>
          </w:rPr>
          <w:t xml:space="preserve">Depression Anxiety Stress Scales</w:t>
        </w:r>
        <w:r>
          <w:rPr>
            <w:rStyle w:val="Hyperlink"/>
          </w:rPr>
          <w:t xml:space="preserve"> </w:t>
        </w:r>
        <w:r>
          <w:rPr>
            <w:rStyle w:val="Hyperlink"/>
          </w:rPr>
          <w:t xml:space="preserve">(</w:t>
        </w:r>
        <w:r>
          <w:rPr>
            <w:rStyle w:val="Hyperlink"/>
          </w:rPr>
          <w:t xml:space="preserve">DASS</w:t>
        </w:r>
        <w:r>
          <w:rPr>
            <w:rStyle w:val="Hyperlink"/>
          </w:rPr>
          <w:t xml:space="preserve">) with the</w:t>
        </w:r>
        <w:r>
          <w:rPr>
            <w:rStyle w:val="Hyperlink"/>
          </w:rPr>
          <w:t xml:space="preserve"> </w:t>
        </w:r>
        <w:r>
          <w:rPr>
            <w:rStyle w:val="Hyperlink"/>
          </w:rPr>
          <w:t xml:space="preserve">Beck Depression</w:t>
        </w:r>
        <w:r>
          <w:rPr>
            <w:rStyle w:val="Hyperlink"/>
          </w:rPr>
          <w:t xml:space="preserve"> </w:t>
        </w:r>
        <w:r>
          <w:rPr>
            <w:rStyle w:val="Hyperlink"/>
          </w:rPr>
          <w:t xml:space="preserve">and</w:t>
        </w:r>
        <w:r>
          <w:rPr>
            <w:rStyle w:val="Hyperlink"/>
          </w:rPr>
          <w:t xml:space="preserve"> </w:t>
        </w:r>
        <w:r>
          <w:rPr>
            <w:rStyle w:val="Hyperlink"/>
          </w:rPr>
          <w:t xml:space="preserve">Anxiety Inventories</w:t>
        </w:r>
      </w:hyperlink>
      <w:r>
        <w:t xml:space="preserve">. Behaviour Research and Therapy. 1995;33: 335–343.</w:t>
      </w:r>
      <w:r>
        <w:t xml:space="preserve"> </w:t>
      </w:r>
    </w:p>
    <w:bookmarkEnd w:id="69"/>
    <w:bookmarkStart w:id="71" w:name="Xcae8ce16b0973d3f8a23c89fe6ee90c012f333c"/>
    <w:p>
      <w:pPr>
        <w:pStyle w:val="Bibliography"/>
      </w:pPr>
      <w:r>
        <w:t xml:space="preserve">19.</w:t>
      </w:r>
      <w:r>
        <w:t xml:space="preserve"> </w:t>
      </w:r>
      <w:r>
        <w:t xml:space="preserve">	</w:t>
      </w:r>
      <w:r>
        <w:t xml:space="preserve">McKiernan P, Cloud R, Patterson DA, Wolf S, Golder S, Besel K. Development of a</w:t>
      </w:r>
      <w:r>
        <w:t xml:space="preserve"> </w:t>
      </w:r>
      <w:r>
        <w:t xml:space="preserve">Brief Abstinence Self-Efficacy Measure</w:t>
      </w:r>
      <w:r>
        <w:t xml:space="preserve">. Journal of social work practice in the addictions. 2011;11: 245–253. doi:</w:t>
      </w:r>
      <w:hyperlink r:id="rId70">
        <w:r>
          <w:rPr>
            <w:rStyle w:val="Hyperlink"/>
          </w:rPr>
          <w:t xml:space="preserve">10.1080/1533256X.2011.593445</w:t>
        </w:r>
      </w:hyperlink>
    </w:p>
    <w:bookmarkEnd w:id="71"/>
    <w:bookmarkStart w:id="73" w:name="X72fdb242290119aefa439c46cdcc18630f6c0fa"/>
    <w:p>
      <w:pPr>
        <w:pStyle w:val="Bibliography"/>
      </w:pPr>
      <w:r>
        <w:t xml:space="preserve">20.</w:t>
      </w:r>
      <w:r>
        <w:t xml:space="preserve"> </w:t>
      </w:r>
      <w:r>
        <w:t xml:space="preserve">	</w:t>
      </w:r>
      <w:r>
        <w:t xml:space="preserve">Flannery BA, Volpicelli JR, Pettinati HM.</w:t>
      </w:r>
      <w:r>
        <w:t xml:space="preserve"> </w:t>
      </w:r>
      <w:hyperlink r:id="rId72">
        <w:r>
          <w:rPr>
            <w:rStyle w:val="Hyperlink"/>
          </w:rPr>
          <w:t xml:space="preserve">Psychometric properties of the</w:t>
        </w:r>
        <w:r>
          <w:rPr>
            <w:rStyle w:val="Hyperlink"/>
          </w:rPr>
          <w:t xml:space="preserve"> </w:t>
        </w:r>
        <w:r>
          <w:rPr>
            <w:rStyle w:val="Hyperlink"/>
          </w:rPr>
          <w:t xml:space="preserve">Penn Alcohol Craving Scale</w:t>
        </w:r>
      </w:hyperlink>
      <w:r>
        <w:t xml:space="preserve">. Alcoholism, clinical and experimental research. 1999;23: 1289–1295.</w:t>
      </w:r>
      <w:r>
        <w:t xml:space="preserve"> </w:t>
      </w:r>
    </w:p>
    <w:bookmarkEnd w:id="73"/>
    <w:bookmarkStart w:id="75" w:name="X948b064f539498125570f43a275c11fe3804a5f"/>
    <w:p>
      <w:pPr>
        <w:pStyle w:val="Bibliography"/>
      </w:pPr>
      <w:r>
        <w:t xml:space="preserve">21.</w:t>
      </w:r>
      <w:r>
        <w:t xml:space="preserve"> </w:t>
      </w:r>
      <w:r>
        <w:t xml:space="preserve">	</w:t>
      </w:r>
      <w:r>
        <w:t xml:space="preserve">McDowell B, Dumais KM, Gary ST, de Gooijer I, Ward T</w:t>
      </w:r>
      <w:r>
        <w:t xml:space="preserve">.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 Patient preference and adherence. 2025;19: 255–263. doi:</w:t>
      </w:r>
      <w:hyperlink r:id="rId74">
        <w:r>
          <w:rPr>
            <w:rStyle w:val="Hyperlink"/>
          </w:rPr>
          <w:t xml:space="preserve">10.2147/PPA.S474535</w:t>
        </w:r>
      </w:hyperlink>
    </w:p>
    <w:bookmarkEnd w:id="75"/>
    <w:bookmarkStart w:id="77" w:name="ref-baeDetectingDrinkingEpisodes2017"/>
    <w:p>
      <w:pPr>
        <w:pStyle w:val="Bibliography"/>
      </w:pPr>
      <w:r>
        <w:t xml:space="preserve">22.</w:t>
      </w:r>
      <w:r>
        <w:t xml:space="preserve"> </w:t>
      </w:r>
      <w:r>
        <w:t xml:space="preserve">	</w:t>
      </w:r>
      <w:r>
        <w:t xml:space="preserve">Bae S, Ferreira D, Suffoletto B, Puyana JC, Kurtz R, Chung T, et al. Detecting</w:t>
      </w:r>
      <w:r>
        <w:t xml:space="preserve"> </w:t>
      </w:r>
      <w:r>
        <w:t xml:space="preserve">Drinking Episodes</w:t>
      </w:r>
      <w:r>
        <w:t xml:space="preserve"> </w:t>
      </w:r>
      <w:r>
        <w:t xml:space="preserve">in</w:t>
      </w:r>
      <w:r>
        <w:t xml:space="preserve"> </w:t>
      </w:r>
      <w:r>
        <w:t xml:space="preserve">Young Adults Using Smartphone-based Sensors</w:t>
      </w:r>
      <w:r>
        <w:t xml:space="preserve">. Proceedings of the ACM on Interactive, Mobile, Wearable and Ubiquitous Technologies. 2017;1: 1–36. doi:</w:t>
      </w:r>
      <w:hyperlink r:id="rId76">
        <w:r>
          <w:rPr>
            <w:rStyle w:val="Hyperlink"/>
          </w:rPr>
          <w:t xml:space="preserve">10.1145/3090051</w:t>
        </w:r>
      </w:hyperlink>
    </w:p>
    <w:bookmarkEnd w:id="77"/>
    <w:bookmarkStart w:id="79" w:name="ref-baeLeveragingMobilePhone2023"/>
    <w:p>
      <w:pPr>
        <w:pStyle w:val="Bibliography"/>
      </w:pPr>
      <w:r>
        <w:t xml:space="preserve">23.</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78">
        <w:r>
          <w:rPr>
            <w:rStyle w:val="Hyperlink"/>
          </w:rPr>
          <w:t xml:space="preserve">10.2196/39862</w:t>
        </w:r>
      </w:hyperlink>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62" Target="https://doi.org/10.1038/s41562-019-0772-6" TargetMode="External" /><Relationship Type="http://schemas.openxmlformats.org/officeDocument/2006/relationships/hyperlink" Id="rId70"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76"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74" Target="https://doi.org/10.2147/PPA.S474535" TargetMode="External" /><Relationship Type="http://schemas.openxmlformats.org/officeDocument/2006/relationships/hyperlink" Id="rId78"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58" Target="https://doi.org/10/gfsjzg"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72" Target="https://www.ncbi.nlm.nih.gov/pubmed/10470970" TargetMode="External" /><Relationship Type="http://schemas.openxmlformats.org/officeDocument/2006/relationships/hyperlink" Id="rId66" Target="https://www.ncbi.nlm.nih.gov/pubmed/12056077" TargetMode="External" /><Relationship Type="http://schemas.openxmlformats.org/officeDocument/2006/relationships/hyperlink" Id="rId68" Target="https://www.ncbi.nlm.nih.gov/pubmed/7726811"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62" Target="https://doi.org/10.1038/s41562-019-0772-6" TargetMode="External" /><Relationship Type="http://schemas.openxmlformats.org/officeDocument/2006/relationships/hyperlink" Id="rId70"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76"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74" Target="https://doi.org/10.2147/PPA.S474535" TargetMode="External" /><Relationship Type="http://schemas.openxmlformats.org/officeDocument/2006/relationships/hyperlink" Id="rId78"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58" Target="https://doi.org/10/gfsjzg"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72" Target="https://www.ncbi.nlm.nih.gov/pubmed/10470970" TargetMode="External" /><Relationship Type="http://schemas.openxmlformats.org/officeDocument/2006/relationships/hyperlink" Id="rId66" Target="https://www.ncbi.nlm.nih.gov/pubmed/12056077" TargetMode="External" /><Relationship Type="http://schemas.openxmlformats.org/officeDocument/2006/relationships/hyperlink" Id="rId68" Target="https://www.ncbi.nlm.nih.gov/pubmed/7726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2026-04-20T13:48:02Z</dcterms:created>
  <dcterms:modified xsi:type="dcterms:W3CDTF">2026-04-20T13:48:02Z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 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 These findings demonstrate that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2026-04-20</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bl-cap-location">
    <vt:lpwstr>bottom</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