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Cellular Communication Sensing for Lapse Risk Prediction During Early Recovery from Alcohol Use Disorder</w:t>
      </w:r>
    </w:p>
    <w:p>
      <w:pPr>
        <w:pStyle w:val="Author"/>
      </w:pPr>
      <w:r>
        <w:t xml:space="preserve">Kendra Wyant</w:t>
      </w:r>
    </w:p>
    <w:p>
      <w:pPr>
        <w:pStyle w:val="Author"/>
      </w:pPr>
      <w:r>
        <w:t xml:space="preserve">Coco Yu</w:t>
      </w:r>
    </w:p>
    <w:p>
      <w:pPr>
        <w:pStyle w:val="Author"/>
      </w:pPr>
      <w:r>
        <w:t xml:space="preserve">John J. Curtin</w:t>
      </w:r>
    </w:p>
    <w:p>
      <w:pPr>
        <w:pStyle w:val="Date"/>
      </w:pPr>
      <w:r>
        <w:t xml:space="preserve">2026-01-16</w:t>
      </w:r>
    </w:p>
    <w:p>
      <w:pPr>
        <w:pStyle w:val="AbstractTitle"/>
      </w:pPr>
      <w:r>
        <w:t xml:space="preserve">Abstract</w:t>
      </w:r>
    </w:p>
    <w:p>
      <w:pPr>
        <w:pStyle w:val="Abstract"/>
      </w:pPr>
      <w:r>
        <w:t xml:space="preserve">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w:t>
      </w:r>
      <w:r>
        <w:t xml:space="preserve"> </w:t>
      </w:r>
      <w:r>
        <w:t xml:space="preserve">Objective: We evaluated a machine learning model predicting next-day alcohol lapse among individuals in early recovery from AUD using contextualized cellular communication data and baseline demographic and AUD characteristics.</w:t>
      </w:r>
      <w:r>
        <w:t xml:space="preserve"> </w:t>
      </w:r>
      <w:r>
        <w:t xml:space="preserve">Methods: A total of 144 participants (49% male; mean age=40; 87% non-Hispanic White) with a goal of abstinence provided cellular communication data and alcohol use reports via a 4x daily EMA for up to three months. Models were trained and evaluated using repeated k-fold cross-validation.</w:t>
      </w:r>
      <w:r>
        <w:t xml:space="preserve"> </w:t>
      </w:r>
      <w:r>
        <w:t xml:space="preserve">Results: The best-performing model used an elastic net algorithm and retained 13 features (median posterior auROC = 0.68, 95% Bayesian credible interval (CI; [0.64, 0.71]). A baseline comparison model including only demographic and self-report measures retained five features and demonstrated nearly identical performance (median auROC = 0.68, 95% CI [0.64, 0.71]).</w:t>
      </w:r>
      <w:r>
        <w:t xml:space="preserve"> </w:t>
      </w:r>
      <w:r>
        <w:t xml:space="preserve">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Alcohol Use Disorder (AUD) is a chronic, relapsing disease</w:t>
      </w:r>
      <w:r>
        <w:rPr>
          <w:vertAlign w:val="superscript"/>
        </w:rPr>
        <w:t xml:space="preserve">1–3</w:t>
      </w:r>
      <w:r>
        <w:t xml:space="preserve">. Lapses, single episodes of alcohol use, are among the strongest predictors (and a necessary precursor) for relapse, a full return to harmful drinking</w:t>
      </w:r>
      <w:r>
        <w:rPr>
          <w:vertAlign w:val="superscript"/>
        </w:rPr>
        <w:t xml:space="preserve">4,5</w:t>
      </w:r>
      <w:r>
        <w:t xml:space="preserve">. While lapses can occur at any point in recovery, they are particularly risky during early recovery</w:t>
      </w:r>
      <w:r>
        <w:rPr>
          <w:vertAlign w:val="superscript"/>
        </w:rPr>
        <w:t xml:space="preserve">6</w:t>
      </w:r>
      <w:r>
        <w:t xml:space="preserve">. Protective coping mechanisms and socio-environmental resources that support recovery are dynamic and accumulate over time</w:t>
      </w:r>
      <w:r>
        <w:rPr>
          <w:vertAlign w:val="superscript"/>
        </w:rPr>
        <w:t xml:space="preserve">7</w:t>
      </w:r>
      <w:r>
        <w:t xml:space="preserve">. As a result, early recovery represents a critical window of vulnerability during which a lapse is more likely to escalate into relapse.</w:t>
      </w:r>
    </w:p>
    <w:p>
      <w:pPr>
        <w:pStyle w:val="BodyText"/>
      </w:pPr>
      <w:r>
        <w:t xml:space="preserve">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rPr>
          <w:vertAlign w:val="superscript"/>
        </w:rPr>
        <w:t xml:space="preserve">8</w:t>
      </w:r>
      <w:r>
        <w:t xml:space="preserve">. Early machine learning models using ecological momentary assessment (EMA) data have achieved excellent accuracy in predicting future lapses back to alcohol use in treatment seeking populations</w:t>
      </w:r>
      <w:r>
        <w:rPr>
          <w:vertAlign w:val="superscript"/>
        </w:rPr>
        <w:t xml:space="preserve">9–11</w:t>
      </w:r>
      <w:r>
        <w:t xml:space="preserve">.</w:t>
      </w:r>
    </w:p>
    <w:p>
      <w:pPr>
        <w:pStyle w:val="BodyText"/>
      </w:pPr>
      <w:r>
        <w:t xml:space="preserve">Despite the high predictive success of EMA, questions remain about the long-term feasibility of a self-report sensing method. EMA has been shown to be well-tolerated among substance use populations over relatively short periods of time</w:t>
      </w:r>
      <w:r>
        <w:rPr>
          <w:vertAlign w:val="superscript"/>
        </w:rPr>
        <w:t xml:space="preserve">12,13</w:t>
      </w:r>
      <w: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discovered due to small subtle changes in one’s environment, social circle, or lifestyle that cannot be easily pinpointed in self-report.</w:t>
      </w:r>
    </w:p>
    <w:p>
      <w:pPr>
        <w:pStyle w:val="BodyText"/>
      </w:pPr>
      <w:r>
        <w:t xml:space="preserve">Cellular communication sensing may be a promising alternative to EMA. Whereas EMA is limited to, at most, several assessments per day, communication sensing is mostly passive and can be monitored moment-by-moment. Cellular communication patterns appear to capture clear, risk-relevant constructs. Late-night phone calls could indicate an emergency,</w:t>
      </w:r>
      <w:r>
        <w:t xml:space="preserve"> </w:t>
      </w:r>
      <w:r>
        <w:t xml:space="preserve">“drunk dialing,”</w:t>
      </w:r>
      <w:r>
        <w:t xml:space="preserve"> </w:t>
      </w:r>
      <w:r>
        <w:t xml:space="preserve">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pPr>
        <w:pStyle w:val="BodyText"/>
      </w:pPr>
      <w:r>
        <w:t xml:space="preserve">These data may become even more powerful when communication patterns are contextualized with participant-specific meaning. For instance, knowing a participant’s relationship to their contacts, whether they have previously drank alcohol with a given contact, or whether that contact supports their recovery goals could substantially alter interpretation. In the examples above, contextualized communication data might reveal that late-night calls are made to a sponsor, or that a shrinking social circle reflects reduced contact with individuals unsupportive of their recovery. In this way, the same communication patterns may reflect protective processes rather than increased lapse risk.</w:t>
      </w:r>
    </w:p>
    <w:p>
      <w:pPr>
        <w:pStyle w:val="BodyText"/>
      </w:pPr>
      <w:r>
        <w:t xml:space="preserve">In this study, we assessed whether contextualized cellular communication features contain clinically meaningful signals for predicting next-day alcohol lapse risk among individuals in early recovery from AUD. Using a machine learning model, we evaluated the predictive utility of these features and identified the most important communication features, with the goal of uncovering new, clinically meaningful predictors of lapse risk.</w:t>
      </w:r>
    </w:p>
    <w:bookmarkEnd w:id="21"/>
    <w:bookmarkStart w:id="34" w:name="methods"/>
    <w:p>
      <w:pPr>
        <w:pStyle w:val="Heading1"/>
      </w:pPr>
      <w:r>
        <w:t xml:space="preserve">Methods</w:t>
      </w:r>
    </w:p>
    <w:bookmarkStart w:id="25" w:name="participants-and-procedure"/>
    <w:p>
      <w:pPr>
        <w:pStyle w:val="Heading2"/>
      </w:pPr>
      <w:r>
        <w:t xml:space="preserve">Participants and Procedure</w:t>
      </w:r>
    </w:p>
    <w:p>
      <w:pPr>
        <w:pStyle w:val="FirstParagraph"/>
      </w:pPr>
      <w:r>
        <w:t xml:space="preserve">We recruited adults in early recovery from AUD in Madison, Wisconsin, through print and digital advertisements and partnerships with treatment centers. Eligibility criteria required that participants were age 18 or older, able to read and write in English, had moderate to severe AUD</w:t>
      </w:r>
      <w:r>
        <w:t xml:space="preserve"> </w:t>
      </w:r>
      <w:r>
        <w:rPr>
          <w:rStyle w:val="FootnoteReference"/>
        </w:rPr>
        <w:footnoteReference w:id="22"/>
      </w:r>
      <w:r>
        <w:t xml:space="preserve">, had a goal of abstinence from alcohol, had been abstinent for 1–8 weeks, were willing to use a single smartphone, and were not exhibiting severe psychosis or paranoia.</w:t>
      </w:r>
      <w:r>
        <w:rPr>
          <w:rStyle w:val="FootnoteReference"/>
        </w:rPr>
        <w:footnoteReference w:id="23"/>
      </w:r>
    </w:p>
    <w:p>
      <w:pPr>
        <w:pStyle w:val="BodyText"/>
      </w:pPr>
      <w:r>
        <w:t xml:space="preserve">Participants completed up to 5 study visits over approximately 3 months: a screening visit, intake visit, and 3 monthly follow-up visits. At screening we collected demographic information (age, sex at birth, race, ethnicity, education, marital status, employment, and income) and clinical characteristics (DSM-5 AUD symptom count, alcohol problems</w:t>
      </w:r>
      <w:r>
        <w:rPr>
          <w:vertAlign w:val="superscript"/>
        </w:rPr>
        <w:t xml:space="preserve">15</w:t>
      </w:r>
      <w:r>
        <w:t xml:space="preserve">, and presence of psychological symptoms</w:t>
      </w:r>
      <w:r>
        <w:rPr>
          <w:vertAlign w:val="superscript"/>
        </w:rPr>
        <w:t xml:space="preserve">14</w:t>
      </w:r>
      <w:r>
        <w:t xml:space="preserve">). At intake we collected additional self-report data on abstinence self-efficacy</w:t>
      </w:r>
      <w:r>
        <w:rPr>
          <w:vertAlign w:val="superscript"/>
        </w:rPr>
        <w:t xml:space="preserve">16</w:t>
      </w:r>
      <w:r>
        <w:t xml:space="preserve">, craving</w:t>
      </w:r>
      <w:r>
        <w:rPr>
          <w:vertAlign w:val="superscript"/>
        </w:rPr>
        <w:t xml:space="preserve">17</w:t>
      </w:r>
      <w:r>
        <w:t xml:space="preserve">, and recent recovery efforts.</w:t>
      </w:r>
    </w:p>
    <w:p>
      <w:pPr>
        <w:pStyle w:val="BodyText"/>
      </w:pPr>
      <w: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deemed important. For each important contact, participants answered 7 contextual questions about their type of relationship, whether they ever drank alcohol with this person, the drinking status of the contact, expectations about whether the contact would drink in their presence, recovery status of contact, level of supportiveness of contact, and affective experiences with the contact.</w:t>
      </w:r>
    </w:p>
    <w:p>
      <w:pPr>
        <w:pStyle w:val="BodyText"/>
      </w:pPr>
      <w:r>
        <w:t xml:space="preserve">While enrolled, participants completed 4 brief daily ecological momentary assessments (7-10 questions). The first item assessed alcohol use (date and time of any unreported drinking episodes). The remaining EMA questions were used as features in other studies</w:t>
      </w:r>
      <w:r>
        <w:rPr>
          <w:vertAlign w:val="superscript"/>
        </w:rPr>
        <w:t xml:space="preserve">10,11</w:t>
      </w:r>
      <w:r>
        <w:t xml:space="preserve">, but were outside the scope of this cellular communication sensing study. Additional sensing data streams and self-report measures were collected for the parent grant. The full study protocol is available on our Open Science Framework page (</w:t>
      </w:r>
      <w:hyperlink r:id="rId24">
        <w:r>
          <w:rPr>
            <w:rStyle w:val="Hyperlink"/>
          </w:rPr>
          <w:t xml:space="preserve">https://osf.io/wgpz9/</w:t>
        </w:r>
      </w:hyperlink>
      <w:r>
        <w:t xml:space="preserve">).</w:t>
      </w:r>
    </w:p>
    <w:bookmarkEnd w:id="25"/>
    <w:bookmarkStart w:id="33" w:name="data-analysis-plan"/>
    <w:p>
      <w:pPr>
        <w:pStyle w:val="Heading2"/>
      </w:pPr>
      <w:r>
        <w:t xml:space="preserve">Data Analysis Plan</w:t>
      </w:r>
    </w:p>
    <w:bookmarkStart w:id="26" w:name="labels"/>
    <w:p>
      <w:pPr>
        <w:pStyle w:val="Heading3"/>
      </w:pPr>
      <w:r>
        <w:t xml:space="preserve">Labels</w:t>
      </w:r>
    </w:p>
    <w:p>
      <w:pPr>
        <w:pStyle w:val="FirstParagraph"/>
      </w:pPr>
      <w:r>
        <w:t xml:space="preserve">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bookmarkEnd w:id="26"/>
    <w:bookmarkStart w:id="27" w:name="feature-engineering"/>
    <w:p>
      <w:pPr>
        <w:pStyle w:val="Heading3"/>
      </w:pPr>
      <w:r>
        <w:t xml:space="preserve">Feature Engineering</w:t>
      </w:r>
    </w:p>
    <w:p>
      <w:pPr>
        <w:pStyle w:val="FirstParagraph"/>
      </w:pPr>
      <w:r>
        <w:t xml:space="preserve">We filtered the raw comunication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feature scoring epochs (6, 12, 24, 48, 72, and 168 hours before the start of the prediction window) to create features.</w:t>
      </w:r>
    </w:p>
    <w:p>
      <w:pPr>
        <w:pStyle w:val="BodyText"/>
      </w:pPr>
      <w:r>
        <w:t xml:space="preserve">Within each feature scoring epoch, we calculated two types of features: raw and difference features. Raw features represent the feature value calculated within a given feature scoring epoch. For example, the raw rate of incoming text messages in a 48-hour feature scoring epoch was calculated as the total number of incoming text messages in the 48 hours immediately preceding the start of the prediction window, divided by 48.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pPr>
        <w:pStyle w:val="BodyText"/>
      </w:pPr>
      <w:r>
        <w:t xml:space="preserve">The full model included 406 features from cellular communication data plus 24 numeric or dummy-coded features from baseline self-report measures. We also evaluated a comparison model that used only the baseline features.</w:t>
      </w:r>
      <w:r>
        <w:t xml:space="preserve"> </w:t>
      </w:r>
      <w:hyperlink w:anchor="tbl-1">
        <w:r>
          <w:rPr>
            <w:rStyle w:val="Hyperlink"/>
          </w:rPr>
          <w:t xml:space="preserve">Table 1</w:t>
        </w:r>
      </w:hyperlink>
      <w:r>
        <w:t xml:space="preserve"> </w:t>
      </w:r>
      <w:r>
        <w:t xml:space="preserve">details the raw predictors, feature engineering procedures, and features included in the full vs. baseline models. Other feature engineering steps performed during cross-validation included imputing missing values (median imputation for numeric features and mode imputation for nominal features), standardizing all features, and removing zero and near-zero variance features as determined from held-in data.</w:t>
      </w:r>
    </w:p>
    <w:bookmarkEnd w:id="27"/>
    <w:bookmarkStart w:id="32" w:name="model-selection-and-evaluation"/>
    <w:p>
      <w:pPr>
        <w:pStyle w:val="Heading3"/>
      </w:pPr>
      <w:r>
        <w:t xml:space="preserve">Model Selection and Evaluation</w:t>
      </w:r>
    </w:p>
    <w:p>
      <w:pPr>
        <w:pStyle w:val="FirstParagraph"/>
      </w:pPr>
      <w:r>
        <w:t xml:space="preserve">Candidate model configurations differed by algorithm (elastic net, random forest, XGBoost), outcome resampling method (i.e., up-sampling and down-sampling of the outcome at ratios ranging from 5:1 to 1:1), and hyperparameter values. The best configuration for each model was selected using 6 repeats of participant-grouped 5-fold cross-validation. Our performance metric was area under the receiver operating curve (auROC). Folds were stratified so that all folds contained comparable proportions of individuals who lapsed frequently (i.e., 10+ times).</w:t>
      </w:r>
    </w:p>
    <w:p>
      <w:pPr>
        <w:pStyle w:val="BodyText"/>
      </w:pPr>
      <w:r>
        <w:t xml:space="preserve">We evaluated model performance with a Bayesian hierarchical generalized linear model. Posterior distributions with 95% credible intervals (CI) were estimated from the 30 held-out folds using weakly informative, data-dependent priors to regularize and reduce overfitting.</w:t>
      </w:r>
      <w:r>
        <w:rPr>
          <w:rStyle w:val="FootnoteReference"/>
        </w:rPr>
        <w:footnoteReference w:id="28"/>
      </w:r>
      <w:r>
        <w:t xml:space="preserve"> </w:t>
      </w:r>
      <w:r>
        <w:t xml:space="preserve">Random intercepts were included for repeat and fold (nested within repeat). auROCs were logit-transformed and regressed on model type to estimate the probability that model performances differed systematically.</w:t>
      </w:r>
    </w:p>
    <w:p>
      <w:pPr>
        <w:pStyle w:val="BodyText"/>
      </w:pPr>
      <w:r>
        <w:t xml:space="preserve">Our best performing models used an elastic net algorithm. We quantified feature importance by examining the retained features (i.e., coefficient value &gt; 0) in the full model and ordering them by absolute coefficient value. These values provide an estimate of the direction and magnitude of association between each predictor and the outcome, conditional on the other features retained. All our annotated analysis scripts are publicly available on our study website (</w:t>
      </w:r>
      <w:hyperlink r:id="rId29">
        <w:r>
          <w:rPr>
            <w:rStyle w:val="Hyperlink"/>
          </w:rPr>
          <w:t xml:space="preserve">https://jjcurtin.github.io/study_messages/</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1"/>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Raw Predictor</w:t>
                  </w:r>
                </w:p>
              </w:tc>
              <w:tc>
                <w:tcPr/>
                <w:p>
                  <w:pPr>
                    <w:pStyle w:val="Compact"/>
                    <w:jc w:val="left"/>
                    <w:jc w:val="center"/>
                  </w:pPr>
                  <w:r>
                    <w:t xml:space="preserve">Response Options</w:t>
                  </w:r>
                </w:p>
              </w:tc>
              <w:tc>
                <w:tcPr/>
                <w:p>
                  <w:pPr>
                    <w:pStyle w:val="Compact"/>
                    <w:jc w:val="left"/>
                    <w:jc w:val="center"/>
                  </w:pPr>
                  <w:r>
                    <w:t xml:space="preserve">Feature Engineering</w:t>
                  </w:r>
                </w:p>
              </w:tc>
              <w:tc>
                <w:tcPr/>
                <w:p>
                  <w:pPr>
                    <w:pStyle w:val="Compact"/>
                    <w:jc w:val="left"/>
                    <w:jc w:val="center"/>
                  </w:pPr>
                  <w:r>
                    <w:t xml:space="preserve">Feature Scoring Epochs</w:t>
                  </w:r>
                </w:p>
              </w:tc>
              <w:tc>
                <w:tcPr/>
                <w:p>
                  <w:pPr>
                    <w:pStyle w:val="Compact"/>
                    <w:jc w:val="right"/>
                    <w:jc w:val="center"/>
                  </w:pPr>
                  <w:r>
                    <w:t xml:space="preserve">Total Features</w:t>
                  </w:r>
                </w:p>
              </w:tc>
              <w:tc>
                <w:tcPr/>
                <w:p>
                  <w:pPr>
                    <w:pStyle w:val="Compact"/>
                    <w:jc w:val="left"/>
                    <w:jc w:val="center"/>
                  </w:pPr>
                  <w:r>
                    <w:t xml:space="preserve">Full Model</w:t>
                  </w:r>
                </w:p>
              </w:tc>
              <w:tc>
                <w:tcPr/>
                <w:p>
                  <w:pPr>
                    <w:pStyle w:val="Compact"/>
                    <w:jc w:val="left"/>
                    <w:jc w:val="center"/>
                  </w:pPr>
                  <w:r>
                    <w:t xml:space="preserve">Baseline Model</w:t>
                  </w:r>
                </w:p>
              </w:tc>
            </w:tr>
            <w:tr>
              <w:tc>
                <w:tcPr/>
                <w:p>
                  <w:pPr>
                    <w:pStyle w:val="Compact"/>
                    <w:jc w:val="left"/>
                    <w:jc w:val="center"/>
                  </w:pPr>
                  <w:r>
                    <w:t xml:space="preserve">Originated</w:t>
                  </w:r>
                </w:p>
              </w:tc>
              <w:tc>
                <w:tcPr/>
                <w:p>
                  <w:pPr>
                    <w:pStyle w:val="Compact"/>
                    <w:jc w:val="left"/>
                    <w:jc w:val="center"/>
                  </w:pPr>
                  <w:r>
                    <w:t xml:space="preserve">Incoming, outgoing</w:t>
                  </w:r>
                </w:p>
              </w:tc>
              <w:tc>
                <w:tcPr/>
                <w:p>
                  <w:pPr>
                    <w:pStyle w:val="Compact"/>
                    <w:jc w:val="left"/>
                    <w:jc w:val="center"/>
                  </w:pPr>
                  <w:r>
                    <w:t xml:space="preserve">Difference and raw rate counts for text messages and voice calls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duration</w:t>
                  </w:r>
                </w:p>
              </w:tc>
              <w:tc>
                <w:tcPr/>
                <w:p>
                  <w:pPr>
                    <w:pStyle w:val="Compact"/>
                    <w:jc w:val="left"/>
                    <w:jc w:val="center"/>
                  </w:pPr>
                  <w:r>
                    <w:t xml:space="preserve">Duration (in minutes)</w:t>
                  </w:r>
                </w:p>
              </w:tc>
              <w:tc>
                <w:tcPr/>
                <w:p>
                  <w:pPr>
                    <w:pStyle w:val="Compact"/>
                    <w:jc w:val="left"/>
                    <w:jc w:val="center"/>
                  </w:pPr>
                  <w:r>
                    <w:t xml:space="preserve">Difference and raw rate sums of duration, difference and raw most recent duration</w:t>
                  </w:r>
                </w:p>
              </w:tc>
              <w:tc>
                <w:tcPr/>
                <w:p>
                  <w:pPr>
                    <w:pStyle w:val="Compact"/>
                    <w:jc w:val="left"/>
                    <w:jc w:val="center"/>
                  </w:pPr>
                  <w:r>
                    <w:t xml:space="preserve">6, 12, 24, 48, 72, and 168 hours</w:t>
                  </w:r>
                </w:p>
              </w:tc>
              <w:tc>
                <w:tcPr/>
                <w:p>
                  <w:pPr>
                    <w:pStyle w:val="Compact"/>
                    <w:jc w:val="right"/>
                    <w:jc w:val="center"/>
                  </w:pPr>
                  <w:r>
                    <w:t xml:space="preserve">14</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Call answered</w:t>
                  </w:r>
                </w:p>
              </w:tc>
              <w:tc>
                <w:tcPr/>
                <w:p>
                  <w:pPr>
                    <w:pStyle w:val="Compact"/>
                    <w:jc w:val="left"/>
                    <w:jc w:val="center"/>
                  </w:pPr>
                  <w:r>
                    <w:t xml:space="preserve">Yes, no</w:t>
                  </w:r>
                </w:p>
              </w:tc>
              <w:tc>
                <w:tcPr/>
                <w:p>
                  <w:pPr>
                    <w:pStyle w:val="Compact"/>
                    <w:jc w:val="left"/>
                    <w:jc w:val="center"/>
                  </w:pPr>
                  <w:r>
                    <w:t xml:space="preserve">Difference and raw rate counts for unanswered incoming voice calls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Date/time of communication</w:t>
                  </w:r>
                </w:p>
              </w:tc>
              <w:tc>
                <w:tcPr/>
                <w:p>
                  <w:pPr>
                    <w:pStyle w:val="Compact"/>
                    <w:jc w:val="left"/>
                    <w:jc w:val="center"/>
                  </w:pPr>
                  <w:r>
                    <w:t xml:space="preserve">Date and time</w:t>
                  </w:r>
                </w:p>
              </w:tc>
              <w:tc>
                <w:tcPr/>
                <w:p>
                  <w:pPr>
                    <w:pStyle w:val="Compact"/>
                    <w:jc w:val="left"/>
                    <w:jc w:val="center"/>
                  </w:pPr>
                  <w:r>
                    <w:t xml:space="preserve">Difference and raw rate counts for text messages and voice calls at night (10 pm – 6am) and on weekends</w:t>
                  </w:r>
                </w:p>
              </w:tc>
              <w:tc>
                <w:tcPr/>
                <w:p>
                  <w:pPr>
                    <w:pStyle w:val="Compact"/>
                    <w:jc w:val="left"/>
                    <w:jc w:val="center"/>
                  </w:pPr>
                  <w:r>
                    <w:t xml:space="preserve">24, 48, 72, and 168 hours (night), 168 hours (weekend)</w:t>
                  </w:r>
                </w:p>
              </w:tc>
              <w:tc>
                <w:tcPr/>
                <w:p>
                  <w:pPr>
                    <w:pStyle w:val="Compact"/>
                    <w:jc w:val="right"/>
                    <w:jc w:val="center"/>
                  </w:pPr>
                  <w:r>
                    <w:t xml:space="preserve">20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Phone number</w:t>
                  </w:r>
                </w:p>
              </w:tc>
              <w:tc>
                <w:tcPr/>
                <w:p>
                  <w:pPr>
                    <w:pStyle w:val="Compact"/>
                    <w:jc w:val="left"/>
                    <w:jc w:val="center"/>
                  </w:pPr>
                  <w:r>
                    <w:t xml:space="preserve">Phone number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12</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Type of Relationship</w:t>
                  </w:r>
                </w:p>
              </w:tc>
              <w:tc>
                <w:tcPr/>
                <w:p>
                  <w:pPr>
                    <w:pStyle w:val="Compact"/>
                    <w:jc w:val="left"/>
                    <w:jc w:val="center"/>
                  </w:pPr>
                  <w:r>
                    <w:t xml:space="preserve">Family, friend, counselor or social worker, co-worker</w:t>
                  </w:r>
                </w:p>
              </w:tc>
              <w:tc>
                <w:tcPr/>
                <w:p>
                  <w:pPr>
                    <w:pStyle w:val="Compact"/>
                    <w:jc w:val="left"/>
                    <w:jc w:val="center"/>
                  </w:pPr>
                  <w:r>
                    <w:t xml:space="preserve">Difference and raw rate counts of unique phone numbers</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Have you drank alcohol with this person?</w:t>
                  </w:r>
                </w:p>
              </w:tc>
              <w:tc>
                <w:tcPr/>
                <w:p>
                  <w:pPr>
                    <w:pStyle w:val="Compact"/>
                    <w:jc w:val="left"/>
                    <w:jc w:val="center"/>
                  </w:pPr>
                  <w:r>
                    <w:t xml:space="preserve">Never/almost never, occasionally, almost always/always</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What is their drinking status?</w:t>
                  </w:r>
                </w:p>
              </w:tc>
              <w:tc>
                <w:tcPr/>
                <w:p>
                  <w:pPr>
                    <w:pStyle w:val="Compact"/>
                    <w:jc w:val="left"/>
                    <w:jc w:val="center"/>
                  </w:pPr>
                  <w:r>
                    <w:t xml:space="preserve">Drinker, non-drinker,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Would you expect them to drink in your presence?</w:t>
                  </w:r>
                </w:p>
              </w:tc>
              <w:tc>
                <w:tcPr/>
                <w:p>
                  <w:pPr>
                    <w:pStyle w:val="Compact"/>
                    <w:jc w:val="left"/>
                    <w:jc w:val="center"/>
                  </w:pPr>
                  <w:r>
                    <w:t xml:space="preserve">Yes, no, uncertain</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currently in recovery from drugs or alcohol?</w:t>
                  </w:r>
                </w:p>
              </w:tc>
              <w:tc>
                <w:tcPr/>
                <w:p>
                  <w:pPr>
                    <w:pStyle w:val="Compact"/>
                    <w:jc w:val="left"/>
                    <w:jc w:val="center"/>
                  </w:pPr>
                  <w:r>
                    <w:t xml:space="preserve">Yes, no,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36</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Are they supportive about your recovery goals?</w:t>
                  </w:r>
                </w:p>
              </w:tc>
              <w:tc>
                <w:tcPr/>
                <w:p>
                  <w:pPr>
                    <w:pStyle w:val="Compact"/>
                    <w:jc w:val="left"/>
                    <w:jc w:val="center"/>
                  </w:pPr>
                  <w:r>
                    <w:t xml:space="preserve">Supportive, unsupportive, mixed, neutral, don’t know</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60</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How are your typical experiences with this person?</w:t>
                  </w:r>
                </w:p>
              </w:tc>
              <w:tc>
                <w:tcPr/>
                <w:p>
                  <w:pPr>
                    <w:pStyle w:val="Compact"/>
                    <w:jc w:val="left"/>
                    <w:jc w:val="center"/>
                  </w:pPr>
                  <w:r>
                    <w:t xml:space="preserve">Pleasant, unpleasant, mixed, neutral</w:t>
                  </w:r>
                </w:p>
              </w:tc>
              <w:tc>
                <w:tcPr/>
                <w:p>
                  <w:pPr>
                    <w:pStyle w:val="Compact"/>
                    <w:jc w:val="left"/>
                    <w:jc w:val="center"/>
                  </w:pPr>
                  <w:r>
                    <w:t xml:space="preserve">Difference and raw rate counts of each response option</w:t>
                  </w:r>
                </w:p>
              </w:tc>
              <w:tc>
                <w:tcPr/>
                <w:p>
                  <w:pPr>
                    <w:pStyle w:val="Compact"/>
                    <w:jc w:val="left"/>
                    <w:jc w:val="center"/>
                  </w:pPr>
                  <w:r>
                    <w:t xml:space="preserve">6, 12, 24, 48, 72, and 168 hours</w:t>
                  </w:r>
                </w:p>
              </w:tc>
              <w:tc>
                <w:tcPr/>
                <w:p>
                  <w:pPr>
                    <w:pStyle w:val="Compact"/>
                    <w:jc w:val="right"/>
                    <w:jc w:val="center"/>
                  </w:pPr>
                  <w:r>
                    <w:t xml:space="preserve">48</w:t>
                  </w:r>
                </w:p>
              </w:tc>
              <w:tc>
                <w:tcPr/>
                <w:p>
                  <w:pPr>
                    <w:pStyle w:val="Compact"/>
                    <w:jc w:val="left"/>
                    <w:jc w:val="center"/>
                  </w:pPr>
                  <w:r>
                    <w:t xml:space="preserve">Yes</w:t>
                  </w:r>
                </w:p>
              </w:tc>
              <w:tc>
                <w:tcPr/>
                <w:p>
                  <w:pPr>
                    <w:pStyle w:val="Compact"/>
                    <w:jc w:val="left"/>
                    <w:jc w:val="center"/>
                  </w:pPr>
                  <w:r>
                    <w:t xml:space="preserve">No</w:t>
                  </w:r>
                </w:p>
              </w:tc>
            </w:tr>
            <w:tr>
              <w:tc>
                <w:tcPr/>
                <w:p>
                  <w:pPr>
                    <w:pStyle w:val="Compact"/>
                    <w:jc w:val="left"/>
                    <w:jc w:val="center"/>
                  </w:pPr>
                  <w:r>
                    <w:t xml:space="preserve">DSM-5 symptom count</w:t>
                  </w:r>
                </w:p>
              </w:tc>
              <w:tc>
                <w:tcPr/>
                <w:p>
                  <w:pPr>
                    <w:pStyle w:val="Compact"/>
                    <w:jc w:val="left"/>
                    <w:jc w:val="center"/>
                  </w:pPr>
                  <w:r>
                    <w:t xml:space="preserve">Numeric (4-11)</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Past year alcohol problems</w:t>
                  </w:r>
                </w:p>
              </w:tc>
              <w:tc>
                <w:tcPr/>
                <w:p>
                  <w:pPr>
                    <w:pStyle w:val="Compact"/>
                    <w:jc w:val="left"/>
                    <w:jc w:val="center"/>
                  </w:pPr>
                  <w:r>
                    <w:t xml:space="preserve">Numeric (0-27)</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Craving</w:t>
                  </w:r>
                </w:p>
              </w:tc>
              <w:tc>
                <w:tcPr/>
                <w:p>
                  <w:pPr>
                    <w:pStyle w:val="Compact"/>
                    <w:jc w:val="left"/>
                    <w:jc w:val="center"/>
                  </w:pPr>
                  <w:r>
                    <w:t xml:space="preserve">Numeric (0-30)</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Abstinence self-efficacy: Negative affect, social, physical, and craving subscales</w:t>
                  </w:r>
                </w:p>
              </w:tc>
              <w:tc>
                <w:tcPr/>
                <w:p>
                  <w:pPr>
                    <w:pStyle w:val="Compact"/>
                    <w:jc w:val="left"/>
                    <w:jc w:val="center"/>
                  </w:pPr>
                  <w:r>
                    <w:t xml:space="preserve">Numeric (0-20)</w:t>
                  </w:r>
                </w:p>
              </w:tc>
              <w:tc>
                <w:tcPr/>
                <w:p>
                  <w:pPr>
                    <w:pStyle w:val="Compact"/>
                  </w:pPr>
                </w:p>
              </w:tc>
              <w:tc>
                <w:tcPr/>
                <w:p>
                  <w:pPr>
                    <w:pStyle w:val="Compact"/>
                  </w:pPr>
                </w:p>
              </w:tc>
              <w:tc>
                <w:tcPr/>
                <w:p>
                  <w:pPr>
                    <w:pStyle w:val="Compact"/>
                    <w:jc w:val="right"/>
                    <w:jc w:val="center"/>
                  </w:pPr>
                  <w:r>
                    <w:t xml:space="preserve">4</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individual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group alcohol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self-help group meetings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other mental health counseling sessions attended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Number of days in contact with unsupportive people (past 30 days)</w:t>
                  </w:r>
                </w:p>
              </w:tc>
              <w:tc>
                <w:tcPr/>
                <w:p>
                  <w:pPr>
                    <w:pStyle w:val="Compact"/>
                    <w:jc w:val="left"/>
                    <w:jc w:val="center"/>
                  </w:pPr>
                  <w:r>
                    <w:t xml:space="preserve">Numeric</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alcohol use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Taken prescribed medication for other mental health disorder (past 30 days)</w:t>
                  </w:r>
                </w:p>
              </w:tc>
              <w:tc>
                <w:tcPr/>
                <w:p>
                  <w:pPr>
                    <w:pStyle w:val="Compact"/>
                    <w:jc w:val="left"/>
                    <w:jc w:val="center"/>
                  </w:pPr>
                  <w:r>
                    <w:t xml:space="preserve">Yes, no</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Satisfaction with progress toward recovery goals (past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Confidence in abstinence ability (next 30 days)</w:t>
                  </w:r>
                </w:p>
              </w:tc>
              <w:tc>
                <w:tcPr/>
                <w:p>
                  <w:pPr>
                    <w:pStyle w:val="Compact"/>
                    <w:jc w:val="left"/>
                    <w:jc w:val="center"/>
                  </w:pPr>
                  <w:r>
                    <w:t xml:space="preserve">Numeric (0-4)</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Has a goal of abstinence</w:t>
                  </w:r>
                </w:p>
              </w:tc>
              <w:tc>
                <w:tcPr/>
                <w:p>
                  <w:pPr>
                    <w:pStyle w:val="Compact"/>
                    <w:jc w:val="left"/>
                    <w:jc w:val="center"/>
                  </w:pPr>
                  <w:r>
                    <w:t xml:space="preserve">Yes, no, uncertain</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Age</w:t>
                  </w:r>
                </w:p>
              </w:tc>
              <w:tc>
                <w:tcPr/>
                <w:p>
                  <w:pPr>
                    <w:pStyle w:val="Compact"/>
                    <w:jc w:val="left"/>
                    <w:jc w:val="center"/>
                  </w:pPr>
                  <w:r>
                    <w:t xml:space="preserve">Numeric (years)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Sex at birth</w:t>
                  </w:r>
                </w:p>
              </w:tc>
              <w:tc>
                <w:tcPr/>
                <w:p>
                  <w:pPr>
                    <w:pStyle w:val="Compact"/>
                    <w:jc w:val="left"/>
                    <w:jc w:val="center"/>
                  </w:pPr>
                  <w:r>
                    <w:t xml:space="preserve">Male, female</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Race</w:t>
                  </w:r>
                </w:p>
              </w:tc>
              <w:tc>
                <w:tcPr/>
                <w:p>
                  <w:pPr>
                    <w:pStyle w:val="Compact"/>
                    <w:jc w:val="left"/>
                    <w:jc w:val="center"/>
                  </w:pPr>
                  <w:r>
                    <w:t xml:space="preserve">Non-Hispanic White, non-White and/or Hispanic</w:t>
                  </w:r>
                </w:p>
              </w:tc>
              <w:tc>
                <w:tcPr/>
                <w:p>
                  <w:pPr>
                    <w:pStyle w:val="Compact"/>
                    <w:jc w:val="left"/>
                    <w:jc w:val="center"/>
                  </w:pPr>
                  <w:r>
                    <w:t xml:space="preserve">Dummy coded</w:t>
                  </w: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Education</w:t>
                  </w:r>
                </w:p>
              </w:tc>
              <w:tc>
                <w:tcPr/>
                <w:p>
                  <w:pPr>
                    <w:pStyle w:val="Compact"/>
                    <w:jc w:val="left"/>
                    <w:jc w:val="center"/>
                  </w:pPr>
                  <w:r>
                    <w:t xml:space="preserve">High school or less, some college, college degree</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Income</w:t>
                  </w:r>
                </w:p>
              </w:tc>
              <w:tc>
                <w:tcPr/>
                <w:p>
                  <w:pPr>
                    <w:pStyle w:val="Compact"/>
                    <w:jc w:val="left"/>
                    <w:jc w:val="center"/>
                  </w:pPr>
                  <w:r>
                    <w:t xml:space="preserve">Numeric (dollars)</w:t>
                  </w:r>
                </w:p>
              </w:tc>
              <w:tc>
                <w:tcPr/>
                <w:p>
                  <w:pPr>
                    <w:pStyle w:val="Compact"/>
                  </w:pPr>
                </w:p>
              </w:tc>
              <w:tc>
                <w:tcPr/>
                <w:p>
                  <w:pPr>
                    <w:pStyle w:val="Compact"/>
                  </w:pPr>
                </w:p>
              </w:tc>
              <w:tc>
                <w:tcPr/>
                <w:p>
                  <w:pPr>
                    <w:pStyle w:val="Compact"/>
                    <w:jc w:val="right"/>
                    <w:jc w:val="center"/>
                  </w:pPr>
                  <w:r>
                    <w:t xml:space="preserve">1</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Marital Status</w:t>
                  </w:r>
                </w:p>
              </w:tc>
              <w:tc>
                <w:tcPr/>
                <w:p>
                  <w:pPr>
                    <w:pStyle w:val="Compact"/>
                    <w:jc w:val="left"/>
                    <w:jc w:val="center"/>
                  </w:pPr>
                  <w:r>
                    <w:t xml:space="preserve">Married, not married, other</w:t>
                  </w:r>
                </w:p>
              </w:tc>
              <w:tc>
                <w:tcPr/>
                <w:p>
                  <w:pPr>
                    <w:pStyle w:val="Compact"/>
                    <w:jc w:val="left"/>
                    <w:jc w:val="center"/>
                  </w:pPr>
                  <w:r>
                    <w:t xml:space="preserve">Dummy coded</w:t>
                  </w:r>
                </w:p>
              </w:tc>
              <w:tc>
                <w:tcPr/>
                <w:p>
                  <w:pPr>
                    <w:pStyle w:val="Compact"/>
                  </w:pPr>
                </w:p>
              </w:tc>
              <w:tc>
                <w:tcPr/>
                <w:p>
                  <w:pPr>
                    <w:pStyle w:val="Compact"/>
                    <w:jc w:val="right"/>
                    <w:jc w:val="center"/>
                  </w:pPr>
                  <w:r>
                    <w:t xml:space="preserve">2</w:t>
                  </w:r>
                </w:p>
              </w:tc>
              <w:tc>
                <w:tcPr/>
                <w:p>
                  <w:pPr>
                    <w:pStyle w:val="Compact"/>
                    <w:jc w:val="left"/>
                    <w:jc w:val="center"/>
                  </w:pPr>
                  <w:r>
                    <w:t xml:space="preserve">Yes</w:t>
                  </w:r>
                </w:p>
              </w:tc>
              <w:tc>
                <w:tcPr/>
                <w:p>
                  <w:pPr>
                    <w:pStyle w:val="Compact"/>
                    <w:jc w:val="left"/>
                    <w:jc w:val="center"/>
                  </w:pPr>
                  <w:r>
                    <w:t xml:space="preserve">Yes</w:t>
                  </w: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Cellular communication features were scored over six feature scoring epochs (6, 12, 24, 48, 72, and 168 hours before the start of the prediction window). Within each feature scoring epoch we calculated two types of features: raw and difference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(e.g., the participant’s average rate count of text messages across all time on study subtracted from the rate count in the preceding 48 hours).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1: Raw Predictors, Response Options, Feature Engineering Methods, Scoring Epochs, Total Number of Features, and Indication of Inclusion in Full and Baseline Models</w:t>
            </w:r>
          </w:p>
          <w:bookmarkEnd w:id="30"/>
        </w:tc>
      </w:tr>
    </w:tbl>
    <w:p>
      <w:pPr>
        <w:pStyle w:val="BodyText"/>
      </w:pPr>
      <w:r>
        <w:rPr>
          <w:vertAlign w:val="subscript"/>
        </w:rPr>
        <w:t xml:space="preserve">Source:</w:t>
      </w:r>
      <w:r>
        <w:rPr>
          <w:vertAlign w:val="subscript"/>
        </w:rPr>
        <w:t xml:space="preserve"> </w:t>
      </w:r>
      <w:hyperlink r:id="rId31">
        <w:r>
          <w:rPr>
            <w:rStyle w:val="Hyperlink"/>
            <w:vertAlign w:val="subscript"/>
          </w:rPr>
          <w:t xml:space="preserve">Make All Tables for Main Manuscript</w:t>
        </w:r>
      </w:hyperlink>
    </w:p>
    <w:bookmarkEnd w:id="32"/>
    <w:bookmarkEnd w:id="33"/>
    <w:bookmarkEnd w:id="34"/>
    <w:bookmarkStart w:id="45" w:name="results"/>
    <w:p>
      <w:pPr>
        <w:pStyle w:val="Heading1"/>
      </w:pPr>
      <w:r>
        <w:t xml:space="preserve">Results</w:t>
      </w:r>
    </w:p>
    <w:bookmarkStart w:id="37" w:name="participants"/>
    <w:p>
      <w:pPr>
        <w:pStyle w:val="Heading2"/>
      </w:pPr>
      <w:r>
        <w:t xml:space="preserve">Participants</w:t>
      </w:r>
    </w:p>
    <w:p>
      <w:pPr>
        <w:pStyle w:val="FirstParagraph"/>
      </w:pPr>
      <w:r>
        <w:t xml:space="preserve">We screened 192 participants. Of these, 169 enrolled and 154 completed the first follow-up visit. Data from 1 participant was excluded due to not reporting a goal of abstinence and lapsing multiple times a day every day on study. Data from 1 participant was excluded due to evidence of careless responding. Data from 1 participant was excluded due to poor compliance with EMA resulting in questionable lapse labels. Data from 7 participants were excluded due to poor compliance providing communication data (i.e., deleting logs prior to download and/or not providing context information about important contacts). The final analytic sample included 144 participants.</w:t>
      </w:r>
      <w:r>
        <w:t xml:space="preserve"> </w:t>
      </w:r>
      <w:hyperlink w:anchor="tbl-2">
        <w:r>
          <w:rPr>
            <w:rStyle w:val="Hyperlink"/>
          </w:rPr>
          <w:t xml:space="preserve">Table 2</w:t>
        </w:r>
      </w:hyperlink>
      <w:r>
        <w:t xml:space="preserve"> </w:t>
      </w:r>
      <w:r>
        <w:t xml:space="preserve">provides the demographic characterization of our sample. 56% of participants reported at least one lapse while on study.</w:t>
      </w:r>
    </w:p>
    <w:tbl>
      <w:tblPr>
        <w:tblStyle w:val="Table"/>
        <w:tblW w:type="pct" w:w="5000"/>
        <w:tblLayout w:type="fixed"/>
        <w:tblLook w:firstRow="0" w:lastRow="0" w:firstColumn="0" w:lastColumn="0" w:noHBand="0" w:noVBand="0" w:val="0000"/>
      </w:tblPr>
      <w:tblGrid>
        <w:gridCol w:w="7920"/>
      </w:tblGrid>
      <w:tr>
        <w:tc>
          <w:tcPr/>
          <w:bookmarkStart w:id="35" w:name="tbl-2"/>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40.4</w:t>
                  </w:r>
                </w:p>
              </w:tc>
              <w:tc>
                <w:tcPr/>
                <w:p>
                  <w:pPr>
                    <w:pStyle w:val="Compact"/>
                    <w:jc w:val="left"/>
                    <w:jc w:val="center"/>
                  </w:pPr>
                  <w:r>
                    <w:t xml:space="preserve">11.8</w:t>
                  </w:r>
                </w:p>
              </w:tc>
              <w:tc>
                <w:tcPr/>
                <w:p>
                  <w:pPr>
                    <w:pStyle w:val="Compact"/>
                    <w:jc w:val="left"/>
                    <w:jc w:val="center"/>
                  </w:pPr>
                  <w:r>
                    <w:t xml:space="preserve">21-72</w:t>
                  </w:r>
                </w:p>
              </w:tc>
            </w:tr>
            <w:tr>
              <w:tc>
                <w:tcPr/>
                <w:p>
                  <w:pPr>
                    <w:pStyle w:val="Compact"/>
                    <w:jc w:val="left"/>
                    <w:jc w:val="center"/>
                  </w:pPr>
                  <w:r>
                    <w:t xml:space="preserve">Sex at Birth</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51.4</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125</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6</w:t>
                  </w:r>
                </w:p>
              </w:tc>
              <w:tc>
                <w:tcPr/>
                <w:p>
                  <w:pPr>
                    <w:pStyle w:val="Compact"/>
                    <w:jc w:val="right"/>
                    <w:jc w:val="center"/>
                  </w:pPr>
                  <w:r>
                    <w:t xml:space="preserve">4.2</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141</w:t>
                  </w:r>
                </w:p>
              </w:tc>
              <w:tc>
                <w:tcPr/>
                <w:p>
                  <w:pPr>
                    <w:pStyle w:val="Compact"/>
                    <w:jc w:val="right"/>
                    <w:jc w:val="center"/>
                  </w:pPr>
                  <w:r>
                    <w:t xml:space="preserve">97.9</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9.7</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39</w:t>
                  </w:r>
                </w:p>
              </w:tc>
              <w:tc>
                <w:tcPr/>
                <w:p>
                  <w:pPr>
                    <w:pStyle w:val="Compact"/>
                    <w:jc w:val="right"/>
                    <w:jc w:val="center"/>
                  </w:pPr>
                  <w:r>
                    <w:t xml:space="preserve">27.1</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13</w:t>
                  </w:r>
                </w:p>
              </w:tc>
              <w:tc>
                <w:tcPr/>
                <w:p>
                  <w:pPr>
                    <w:pStyle w:val="Compact"/>
                    <w:jc w:val="right"/>
                    <w:jc w:val="center"/>
                  </w:pPr>
                  <w:r>
                    <w:t xml:space="preserve">9.0</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55</w:t>
                  </w:r>
                </w:p>
              </w:tc>
              <w:tc>
                <w:tcPr/>
                <w:p>
                  <w:pPr>
                    <w:pStyle w:val="Compact"/>
                    <w:jc w:val="right"/>
                    <w:jc w:val="center"/>
                  </w:pPr>
                  <w:r>
                    <w:t xml:space="preserve">38.2</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22</w:t>
                  </w:r>
                </w:p>
              </w:tc>
              <w:tc>
                <w:tcPr/>
                <w:p>
                  <w:pPr>
                    <w:pStyle w:val="Compact"/>
                    <w:jc w:val="right"/>
                    <w:jc w:val="center"/>
                  </w:pPr>
                  <w:r>
                    <w:t xml:space="preserve">15.3</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70</w:t>
                  </w:r>
                </w:p>
              </w:tc>
              <w:tc>
                <w:tcPr/>
                <w:p>
                  <w:pPr>
                    <w:pStyle w:val="Compact"/>
                    <w:jc w:val="right"/>
                    <w:jc w:val="center"/>
                  </w:pPr>
                  <w:r>
                    <w:t xml:space="preserve">48.6</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25</w:t>
                  </w:r>
                </w:p>
              </w:tc>
              <w:tc>
                <w:tcPr/>
                <w:p>
                  <w:pPr>
                    <w:pStyle w:val="Compact"/>
                    <w:jc w:val="right"/>
                    <w:jc w:val="center"/>
                  </w:pPr>
                  <w:r>
                    <w:t xml:space="preserve">17.4</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4.9</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15</w:t>
                  </w:r>
                </w:p>
              </w:tc>
              <w:tc>
                <w:tcPr/>
                <w:p>
                  <w:pPr>
                    <w:pStyle w:val="Compact"/>
                    <w:jc w:val="right"/>
                    <w:jc w:val="center"/>
                  </w:pPr>
                  <w:r>
                    <w:t xml:space="preserve">10.4</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2.1</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8</w:t>
                  </w:r>
                </w:p>
              </w:tc>
              <w:tc>
                <w:tcPr/>
                <w:p>
                  <w:pPr>
                    <w:pStyle w:val="Compact"/>
                    <w:jc w:val="right"/>
                    <w:jc w:val="center"/>
                  </w:pPr>
                  <w:r>
                    <w:t xml:space="preserve">5.6</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$35,050</w:t>
                  </w:r>
                </w:p>
              </w:tc>
              <w:tc>
                <w:tcPr/>
                <w:p>
                  <w:pPr>
                    <w:pStyle w:val="Compact"/>
                    <w:jc w:val="left"/>
                    <w:jc w:val="center"/>
                  </w:pPr>
                  <w:r>
                    <w:t xml:space="preserve">$32,069</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63</w:t>
                  </w:r>
                </w:p>
              </w:tc>
              <w:tc>
                <w:tcPr/>
                <w:p>
                  <w:pPr>
                    <w:pStyle w:val="Compact"/>
                    <w:jc w:val="right"/>
                    <w:jc w:val="center"/>
                  </w:pPr>
                  <w:r>
                    <w:t xml:space="preserve">43.8</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22.2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42</w:t>
                  </w:r>
                </w:p>
              </w:tc>
              <w:tc>
                <w:tcPr/>
                <w:p>
                  <w:pPr>
                    <w:pStyle w:val="Compact"/>
                    <w:jc w:val="right"/>
                    <w:jc w:val="center"/>
                  </w:pPr>
                  <w:r>
                    <w:t xml:space="preserve">29.2</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3.5</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1.4</w:t>
                  </w:r>
                </w:p>
              </w:tc>
              <w:tc>
                <w:tcPr/>
                <w:p>
                  <w:pPr>
                    <w:pStyle w:val="Compact"/>
                  </w:pPr>
                </w:p>
              </w:tc>
              <w:tc>
                <w:tcPr/>
                <w:p>
                  <w:pPr>
                    <w:pStyle w:val="Compact"/>
                  </w:pPr>
                </w:p>
              </w:tc>
              <w:tc>
                <w:tcPr/>
                <w:p>
                  <w:pPr>
                    <w:pStyle w:val="Compact"/>
                  </w:pPr>
                </w:p>
              </w:tc>
            </w:tr>
            <w:tr>
              <w:tc>
                <w:tcPr/>
                <w:p>
                  <w:pPr>
                    <w:pStyle w:val="Compact"/>
                    <w:jc w:val="left"/>
                    <w:jc w:val="center"/>
                  </w:pPr>
                  <w:r>
                    <w:t xml:space="preserve">Note:</w:t>
                  </w:r>
                  <w:r>
                    <w:t xml:space="preserve">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 </w:t>
                  </w:r>
                  <w:r>
                    <w:t xml:space="preserve">N = 144</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jc w:val="center"/>
            </w:pPr>
            <w:pPr>
              <w:jc w:val="start"/>
              <w:spacing w:before="200"/>
              <w:pStyle w:val="ImageCaption"/>
            </w:pPr>
            <w:r>
              <w:t xml:space="preserve">Table 2: Demographic Characterization</w:t>
            </w:r>
          </w:p>
          <w:bookmarkEnd w:id="35"/>
        </w:tc>
      </w:tr>
    </w:tbl>
    <w:p>
      <w:pPr>
        <w:pStyle w:val="BodyText"/>
      </w:pPr>
      <w:r>
        <w:rPr>
          <w:vertAlign w:val="subscript"/>
        </w:rPr>
        <w:t xml:space="preserve">Source:</w:t>
      </w:r>
      <w:r>
        <w:rPr>
          <w:vertAlign w:val="subscript"/>
        </w:rPr>
        <w:t xml:space="preserve"> </w:t>
      </w:r>
      <w:hyperlink r:id="rId36">
        <w:r>
          <w:rPr>
            <w:rStyle w:val="Hyperlink"/>
            <w:vertAlign w:val="subscript"/>
          </w:rPr>
          <w:t xml:space="preserve">Make All Tables for Main Manuscript</w:t>
        </w:r>
      </w:hyperlink>
    </w:p>
    <w:bookmarkEnd w:id="37"/>
    <w:bookmarkStart w:id="38" w:name="communications"/>
    <w:p>
      <w:pPr>
        <w:pStyle w:val="Heading2"/>
      </w:pPr>
      <w:r>
        <w:t xml:space="preserve">Communications</w:t>
      </w:r>
    </w:p>
    <w:p>
      <w:pPr>
        <w:pStyle w:val="FirstParagraph"/>
      </w:pPr>
      <w:r>
        <w:t xml:space="preserve">Participants had an average of 26 important contacts (range 2-113) that were contextualized with self-report information. We obtained a total of 375,912 contextualized communications across participants. Participants had, on average, 2,610 contextualized communications (range = 109-14,225) averaging to about 33 communications per day (range 3-278).</w:t>
      </w:r>
    </w:p>
    <w:bookmarkEnd w:id="38"/>
    <w:bookmarkStart w:id="44" w:name="model-evaluation"/>
    <w:p>
      <w:pPr>
        <w:pStyle w:val="Heading2"/>
      </w:pPr>
      <w:r>
        <w:t xml:space="preserve">Model Evaluation</w:t>
      </w:r>
    </w:p>
    <w:p>
      <w:pPr>
        <w:pStyle w:val="FirstParagraph"/>
      </w:pPr>
      <w:r>
        <w:t xml:space="preserve">The median posterior auROC for the full model was 0.68, with relatively narrow 95% CI ([0.64, 0.71]) that did not contain .5. This provides strong evidence that the model is capturing signal in the data. The final model retained 13 features (</w:t>
      </w:r>
      <w:hyperlink w:anchor="fig-1">
        <w:r>
          <w:rPr>
            <w:rStyle w:val="Hyperlink"/>
          </w:rPr>
          <w:t xml:space="preserve">Figure 1</w:t>
        </w:r>
      </w:hyperlink>
      <w:r>
        <w:t xml:space="preserve">).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pPr>
        <w:pStyle w:val="BodyText"/>
      </w:pPr>
      <w:r>
        <w:t xml:space="preserve">We evaluated a comparison model to assess the incremental predictive value of cellular communication features beyond baseline measures. The baseline model retained 5 features and achieved performance nearly identical to the full model (median auROC = 0.68, 95% CI [0.64, 0.71]). The median difference in auROC between the full and baseline models was less than .01, providing no evidence (52% probability) that the full model performed better than the baseline model.</w:t>
      </w:r>
      <w:r>
        <w:t xml:space="preserve"> </w:t>
      </w: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1"/>
          <w:p>
            <w:pPr>
              <w:pStyle w:val="Compact"/>
              <w:jc w:val="center"/>
            </w:pPr>
            <w:r>
              <w:drawing>
                <wp:inline>
                  <wp:extent cx="5334000" cy="3810000"/>
                  <wp:effectExtent b="0" l="0" r="0" t="0"/>
                  <wp:docPr descr="" title="" id="40" name="Picture"/>
                  <a:graphic>
                    <a:graphicData uri="http://schemas.openxmlformats.org/drawingml/2006/picture">
                      <pic:pic>
                        <pic:nvPicPr>
                          <pic:cNvPr descr="index_files/figure-docx/notebooks-mak_figures-fig-1-output-1.png" id="41" name="Picture"/>
                          <pic:cNvPicPr>
                            <a:picLocks noChangeArrowheads="1" noChangeAspect="1"/>
                          </pic:cNvPicPr>
                        </pic:nvPicPr>
                        <pic:blipFill>
                          <a:blip r:embed="rId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Global feature importance (elastic net coefficient) for the full model. Features are ordered by absolute coefficient value. Blue bars indicate higher feature values, on average, lower lapse risk. Red bars indicate higher feature values, on average, increase risk. Baseline features were collected from self-report measures at the start of the study. Communication features were engineered from the contexualized cellular communications.</w:t>
            </w:r>
          </w:p>
          <w:bookmarkEnd w:id="42"/>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Make All Figures for Main Manuscript</w:t>
        </w:r>
      </w:hyperlink>
    </w:p>
    <w:bookmarkEnd w:id="44"/>
    <w:bookmarkEnd w:id="45"/>
    <w:bookmarkStart w:id="46" w:name="discussion"/>
    <w:p>
      <w:pPr>
        <w:pStyle w:val="Heading1"/>
      </w:pPr>
      <w:r>
        <w:t xml:space="preserve">Discussion</w:t>
      </w:r>
    </w:p>
    <w:p>
      <w:pPr>
        <w:pStyle w:val="FirstParagraph"/>
      </w:pPr>
      <w:r>
        <w:t xml:space="preserve">Our model achieved fair performance, with an auROC of 0.68, indicating that some predictive signal was present. However, it did not offer incremental value beyond a baseline model that included only demographic and self-report measures. Consistent with this, the four most important predictors in our model were all self-report variables: abstinence confidence, abstinence goal, negative affect efficacy, and craving.</w:t>
      </w:r>
    </w:p>
    <w:p>
      <w:pPr>
        <w:pStyle w:val="BodyText"/>
      </w:pPr>
      <w:r>
        <w:t xml:space="preserve">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pPr>
        <w:pStyle w:val="BodyText"/>
      </w:pPr>
      <w:r>
        <w:t xml:space="preserve">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rPr>
          <w:vertAlign w:val="superscript"/>
        </w:rPr>
        <w:t xml:space="preserve">18</w:t>
      </w:r>
      <w:r>
        <w:t xml:space="preserve">. Therefore, our dataset likely missed a substantial portion of participants’ communications. Notably, the communication features retained in the final model were scored over the longest feature scoring epochs (72 and 168 hours), suggesting that when more data are available (i.e., more communications), these features may be become more important. Future studies could explore whether incorporating communication data from additional platforms yields stronger predictive signal. However, even with improved data collection methods, sparsity may remain a challenge, as some people just don’t communicate frequently with others and others use services (e.g., Snapchat) that automaticlaly delete messages.</w:t>
      </w:r>
    </w:p>
    <w:p>
      <w:pPr>
        <w:pStyle w:val="BodyText"/>
      </w:pPr>
      <w:r>
        <w:t xml:space="preserve">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rPr>
          <w:vertAlign w:val="superscript"/>
        </w:rPr>
        <w:t xml:space="preserve">19</w:t>
      </w:r>
      <w:r>
        <w:t xml:space="preserve"> </w:t>
      </w:r>
      <w:r>
        <w:t xml:space="preserve">and predict future</w:t>
      </w:r>
      <w:r>
        <w:rPr>
          <w:vertAlign w:val="superscript"/>
        </w:rPr>
        <w:t xml:space="preserve">20</w:t>
      </w:r>
      <w:r>
        <w:t xml:space="preserve"> </w:t>
      </w:r>
      <w:r>
        <w:t xml:space="preserve">heavy drinking episondes in non-treatment seeking young adult populations. It is possible, that in certain populations cellular communications may hold more signal. Young adults may have more frequent communications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above and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pPr>
        <w:pStyle w:val="BodyText"/>
      </w:pPr>
      <w: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that other forms of social interaction characterization (e.g., engineering time spent with supportive contacts from geolocation data) are more worthwhile to pursue in future research.</w:t>
      </w:r>
    </w:p>
    <w:bookmarkEnd w:id="46"/>
    <w:bookmarkStart w:id="47" w:name="author-contributions"/>
    <w:p>
      <w:pPr>
        <w:pStyle w:val="Heading1"/>
      </w:pPr>
      <w:r>
        <w:t xml:space="preserve">Author Contributions</w:t>
      </w:r>
    </w:p>
    <w:p>
      <w:pPr>
        <w:pStyle w:val="FirstParagraph"/>
      </w:pPr>
      <w:r>
        <w:t xml:space="preserve">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47"/>
    <w:bookmarkStart w:id="48" w:name="acknowledgments"/>
    <w:p>
      <w:pPr>
        <w:pStyle w:val="Heading1"/>
      </w:pPr>
      <w:r>
        <w:t xml:space="preserve">Acknowledgments</w:t>
      </w:r>
    </w:p>
    <w:p>
      <w:pPr>
        <w:pStyle w:val="FirstParagraph"/>
      </w:pPr>
      <w:r>
        <w:t xml:space="preserve">The authors wish to thank Susan E. Wanta for her role as the project administrator.</w:t>
      </w:r>
    </w:p>
    <w:bookmarkEnd w:id="48"/>
    <w:bookmarkStart w:id="55" w:name="statements-and-declarations"/>
    <w:p>
      <w:pPr>
        <w:pStyle w:val="Heading1"/>
      </w:pPr>
      <w:r>
        <w:t xml:space="preserve">Statements and Declarations</w:t>
      </w:r>
    </w:p>
    <w:bookmarkStart w:id="49" w:name="ethical-considerations"/>
    <w:p>
      <w:pPr>
        <w:pStyle w:val="Heading2"/>
      </w:pPr>
      <w:r>
        <w:t xml:space="preserve">Ethical Considerations</w:t>
      </w:r>
    </w:p>
    <w:p>
      <w:pPr>
        <w:pStyle w:val="FirstParagraph"/>
      </w:pPr>
      <w:r>
        <w:t xml:space="preserve">All procedures were approved by the University of Wisconsin-Madison Institutional Review Board (Study #2015-0780).</w:t>
      </w:r>
    </w:p>
    <w:bookmarkEnd w:id="49"/>
    <w:bookmarkStart w:id="50" w:name="consent-to-participate"/>
    <w:p>
      <w:pPr>
        <w:pStyle w:val="Heading2"/>
      </w:pPr>
      <w:r>
        <w:t xml:space="preserve">Consent to Participate</w:t>
      </w:r>
    </w:p>
    <w:p>
      <w:pPr>
        <w:pStyle w:val="FirstParagraph"/>
      </w:pPr>
      <w:r>
        <w:t xml:space="preserve">All participants provided written informed consent.</w:t>
      </w:r>
    </w:p>
    <w:bookmarkEnd w:id="50"/>
    <w:bookmarkStart w:id="51" w:name="consent-for-publication"/>
    <w:p>
      <w:pPr>
        <w:pStyle w:val="Heading2"/>
      </w:pPr>
      <w:r>
        <w:t xml:space="preserve">Consent for Publication</w:t>
      </w:r>
    </w:p>
    <w:p>
      <w:pPr>
        <w:pStyle w:val="FirstParagraph"/>
      </w:pPr>
      <w:r>
        <w:t xml:space="preserve">Not applicable.</w:t>
      </w:r>
    </w:p>
    <w:bookmarkEnd w:id="51"/>
    <w:bookmarkStart w:id="52" w:name="declaration-of-conflicting-interest"/>
    <w:p>
      <w:pPr>
        <w:pStyle w:val="Heading2"/>
      </w:pPr>
      <w:r>
        <w:t xml:space="preserve">Declaration of Conflicting Interest</w:t>
      </w:r>
    </w:p>
    <w:p>
      <w:pPr>
        <w:pStyle w:val="FirstParagraph"/>
      </w:pPr>
      <w:r>
        <w:t xml:space="preserve">The authors declared no potential conflicts of interest with respect to the research, authorship, and publication of this article.</w:t>
      </w:r>
    </w:p>
    <w:bookmarkEnd w:id="52"/>
    <w:bookmarkStart w:id="53" w:name="funding"/>
    <w:p>
      <w:pPr>
        <w:pStyle w:val="Heading2"/>
      </w:pPr>
      <w:r>
        <w:t xml:space="preserve">Funding</w:t>
      </w:r>
    </w:p>
    <w:p>
      <w:pPr>
        <w:pStyle w:val="FirstParagraph"/>
      </w:pPr>
      <w:r>
        <w:t xml:space="preserve">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53"/>
    <w:bookmarkStart w:id="54" w:name="data-availability"/>
    <w:p>
      <w:pPr>
        <w:pStyle w:val="Heading2"/>
      </w:pPr>
      <w:r>
        <w:t xml:space="preserve">Data Availability</w:t>
      </w:r>
    </w:p>
    <w:p>
      <w:pPr>
        <w:pStyle w:val="FirstParagraph"/>
      </w:pPr>
      <w:r>
        <w:t xml:space="preserve">Our de-identified data, questionnaires, and other study materials are publicly available on our OSF page (</w:t>
      </w:r>
      <w:hyperlink r:id="rId24">
        <w:r>
          <w:rPr>
            <w:rStyle w:val="Hyperlink"/>
          </w:rPr>
          <w:t xml:space="preserve">https://osf.io/wgpz9/</w:t>
        </w:r>
      </w:hyperlink>
      <w:r>
        <w:t xml:space="preserve">).</w:t>
      </w:r>
    </w:p>
    <w:p>
      <w:r>
        <w:br w:type="page"/>
      </w:r>
    </w:p>
    <w:bookmarkEnd w:id="54"/>
    <w:bookmarkEnd w:id="55"/>
    <w:bookmarkStart w:id="91" w:name="references"/>
    <w:p>
      <w:pPr>
        <w:pStyle w:val="Heading1"/>
      </w:pPr>
      <w:r>
        <w:t xml:space="preserve">References</w:t>
      </w:r>
    </w:p>
    <w:bookmarkStart w:id="90" w:name="refs"/>
    <w:bookmarkStart w:id="57" w:name="ref-mclellanDrugDependenceChronic2000"/>
    <w:p>
      <w:pPr>
        <w:pStyle w:val="Bibliography"/>
      </w:pPr>
      <w:r>
        <w:t xml:space="preserve">1.</w:t>
      </w:r>
      <w:r>
        <w:t xml:space="preserve"> </w:t>
      </w:r>
      <w:r>
        <w:t xml:space="preserve">	</w:t>
      </w:r>
      <w:r>
        <w:t xml:space="preserve">McLellan AT, Lewis DC, O’Brien CP, et al.</w:t>
      </w:r>
      <w:r>
        <w:t xml:space="preserve"> </w:t>
      </w:r>
      <w:hyperlink r:id="rId56">
        <w:r>
          <w:rPr>
            <w:rStyle w:val="Hyperlink"/>
          </w:rPr>
          <w:t xml:space="preserve">Drug dependence, a chronic medical illness: Implications for treatment, insurance, and outcomes evaluation</w:t>
        </w:r>
      </w:hyperlink>
      <w:r>
        <w:t xml:space="preserve">.</w:t>
      </w:r>
      <w:r>
        <w:t xml:space="preserve"> </w:t>
      </w:r>
      <w:r>
        <w:rPr>
          <w:i/>
          <w:iCs/>
        </w:rPr>
        <w:t xml:space="preserve">JAMA</w:t>
      </w:r>
      <w:r>
        <w:t xml:space="preserve"> </w:t>
      </w:r>
      <w:r>
        <w:t xml:space="preserve">2000; 284: 1689–1695.</w:t>
      </w:r>
    </w:p>
    <w:bookmarkEnd w:id="57"/>
    <w:bookmarkStart w:id="59" w:name="ref-dennisManagingAddictionChronic2007"/>
    <w:p>
      <w:pPr>
        <w:pStyle w:val="Bibliography"/>
      </w:pPr>
      <w:r>
        <w:t xml:space="preserve">2.</w:t>
      </w:r>
      <w:r>
        <w:t xml:space="preserve"> </w:t>
      </w:r>
      <w:r>
        <w:t xml:space="preserve">	</w:t>
      </w:r>
      <w:r>
        <w:t xml:space="preserve">Dennis M, Scott CK.</w:t>
      </w:r>
      <w:r>
        <w:t xml:space="preserve"> </w:t>
      </w:r>
      <w:hyperlink r:id="rId58">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 </w:t>
      </w:r>
      <w:r>
        <w:t xml:space="preserve">2007; 4: 45–55.</w:t>
      </w:r>
    </w:p>
    <w:bookmarkEnd w:id="59"/>
    <w:bookmarkStart w:id="60" w:name="ref-rounsavilleLapseRelapseChasing2010"/>
    <w:p>
      <w:pPr>
        <w:pStyle w:val="Bibliography"/>
      </w:pPr>
      <w:r>
        <w:t xml:space="preserve">3.</w:t>
      </w:r>
      <w:r>
        <w:t xml:space="preserve"> </w:t>
      </w:r>
      <w:r>
        <w:t xml:space="preserve">	</w:t>
      </w:r>
      <w:r>
        <w:t xml:space="preserve">Rounsaville DB.</w:t>
      </w:r>
      <w:r>
        <w:t xml:space="preserve"> </w:t>
      </w:r>
      <w:r>
        <w:rPr>
          <w:i/>
          <w:iCs/>
        </w:rPr>
        <w:t xml:space="preserve">Lapse,</w:t>
      </w:r>
      <w:r>
        <w:rPr>
          <w:i/>
          <w:iCs/>
        </w:rPr>
        <w:t xml:space="preserve"> </w:t>
      </w:r>
      <w:r>
        <w:rPr>
          <w:i/>
          <w:iCs/>
        </w:rPr>
        <w:t xml:space="preserve">Relapse</w:t>
      </w:r>
      <w:r>
        <w:rPr>
          <w:i/>
          <w:iCs/>
        </w:rPr>
        <w:t xml:space="preserve">, and</w:t>
      </w:r>
      <w:r>
        <w:rPr>
          <w:i/>
          <w:iCs/>
        </w:rPr>
        <w:t xml:space="preserve"> </w:t>
      </w:r>
      <w:r>
        <w:rPr>
          <w:i/>
          <w:iCs/>
        </w:rPr>
        <w:t xml:space="preserve">Chasing</w:t>
      </w:r>
      <w:r>
        <w:rPr>
          <w:i/>
          <w:iCs/>
        </w:rPr>
        <w:t xml:space="preserve"> </w:t>
      </w:r>
      <w:r>
        <w:rPr>
          <w:i/>
          <w:iCs/>
        </w:rPr>
        <w:t xml:space="preserve">the</w:t>
      </w:r>
      <w:r>
        <w:rPr>
          <w:i/>
          <w:iCs/>
        </w:rPr>
        <w:t xml:space="preserve"> </w:t>
      </w:r>
      <w:r>
        <w:rPr>
          <w:i/>
          <w:iCs/>
        </w:rPr>
        <w:t xml:space="preserve">Wagon</w:t>
      </w:r>
      <w:r>
        <w:rPr>
          <w:i/>
          <w:iCs/>
        </w:rPr>
        <w:t xml:space="preserve">:</w:t>
      </w:r>
      <w:r>
        <w:rPr>
          <w:i/>
          <w:iCs/>
        </w:rPr>
        <w:t xml:space="preserve"> </w:t>
      </w:r>
      <w:r>
        <w:rPr>
          <w:i/>
          <w:iCs/>
        </w:rPr>
        <w:t xml:space="preserve">Post-Treatment Drinking</w:t>
      </w:r>
      <w:r>
        <w:rPr>
          <w:i/>
          <w:iCs/>
        </w:rPr>
        <w:t xml:space="preserve"> </w:t>
      </w:r>
      <w:r>
        <w:rPr>
          <w:i/>
          <w:iCs/>
        </w:rPr>
        <w:t xml:space="preserve">and</w:t>
      </w:r>
      <w:r>
        <w:rPr>
          <w:i/>
          <w:iCs/>
        </w:rPr>
        <w:t xml:space="preserve"> </w:t>
      </w:r>
      <w:r>
        <w:rPr>
          <w:i/>
          <w:iCs/>
        </w:rPr>
        <w:t xml:space="preserve">Recovery</w:t>
      </w:r>
      <w:r>
        <w:t xml:space="preserve">. PhD Thesis, University of Maryland, Baltimore County, 2010.</w:t>
      </w:r>
    </w:p>
    <w:bookmarkEnd w:id="60"/>
    <w:bookmarkStart w:id="61" w:name="X0900e084d2d8751b94683f82b04534ea811d54e"/>
    <w:p>
      <w:pPr>
        <w:pStyle w:val="Bibliography"/>
      </w:pPr>
      <w:r>
        <w:t xml:space="preserve">4.</w:t>
      </w:r>
      <w:r>
        <w:t xml:space="preserve"> </w:t>
      </w:r>
      <w:r>
        <w:t xml:space="preserve">	</w:t>
      </w:r>
      <w:r>
        <w:t xml:space="preserve">Marlatt GA, Gordon JR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 1985.</w:t>
      </w:r>
    </w:p>
    <w:bookmarkEnd w:id="61"/>
    <w:bookmarkStart w:id="62" w:name="ref-marlattRelapsePreventionSecond2007"/>
    <w:p>
      <w:pPr>
        <w:pStyle w:val="Bibliography"/>
      </w:pPr>
      <w:r>
        <w:t xml:space="preserve">5.</w:t>
      </w:r>
      <w:r>
        <w:t xml:space="preserve"> </w:t>
      </w:r>
      <w:r>
        <w:t xml:space="preserve">	</w:t>
      </w:r>
      <w:r>
        <w:t xml:space="preserve">Marlatt GA, Donovan DM (eds).</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2nd edition. New York London: The Guilford Press, 2007.</w:t>
      </w:r>
    </w:p>
    <w:bookmarkEnd w:id="62"/>
    <w:bookmarkStart w:id="64" w:name="ref-daleyReducingRiskRelapse2019"/>
    <w:p>
      <w:pPr>
        <w:pStyle w:val="Bibliography"/>
      </w:pPr>
      <w:r>
        <w:t xml:space="preserve">6.</w:t>
      </w:r>
      <w:r>
        <w:t xml:space="preserve"> </w:t>
      </w:r>
      <w:r>
        <w:t xml:space="preserve">	</w:t>
      </w:r>
      <w:r>
        <w:t xml:space="preserve">Daley DC, Douaihy A.</w:t>
      </w:r>
      <w:r>
        <w:t xml:space="preserve"> </w:t>
      </w:r>
      <w:hyperlink r:id="rId63">
        <w:r>
          <w:rPr>
            <w:rStyle w:val="Hyperlink"/>
          </w:rPr>
          <w:t xml:space="preserve">Reducing the</w:t>
        </w:r>
        <w:r>
          <w:rPr>
            <w:rStyle w:val="Hyperlink"/>
          </w:rPr>
          <w:t xml:space="preserve"> </w:t>
        </w:r>
        <w:r>
          <w:rPr>
            <w:rStyle w:val="Hyperlink"/>
          </w:rPr>
          <w:t xml:space="preserve">Risk</w:t>
        </w:r>
        <w:r>
          <w:rPr>
            <w:rStyle w:val="Hyperlink"/>
          </w:rPr>
          <w:t xml:space="preserve"> </w:t>
        </w:r>
        <w:r>
          <w:rPr>
            <w:rStyle w:val="Hyperlink"/>
          </w:rPr>
          <w:t xml:space="preserve">of</w:t>
        </w:r>
        <w:r>
          <w:rPr>
            <w:rStyle w:val="Hyperlink"/>
          </w:rPr>
          <w:t xml:space="preserve"> </w:t>
        </w:r>
        <w:r>
          <w:rPr>
            <w:rStyle w:val="Hyperlink"/>
          </w:rPr>
          <w:t xml:space="preserve">Relapse</w:t>
        </w:r>
      </w:hyperlink>
      <w:r>
        <w:t xml:space="preserve">. In: Daley DC, Douaihy AB, Daley DC, et al. (eds)</w:t>
      </w:r>
      <w:r>
        <w:t xml:space="preserve"> </w:t>
      </w:r>
      <w:r>
        <w:rPr>
          <w:i/>
          <w:iCs/>
        </w:rPr>
        <w:t xml:space="preserve">Managing</w:t>
      </w:r>
      <w:r>
        <w:rPr>
          <w:i/>
          <w:iCs/>
        </w:rPr>
        <w:t xml:space="preserve"> </w:t>
      </w:r>
      <w:r>
        <w:rPr>
          <w:i/>
          <w:iCs/>
        </w:rPr>
        <w:t xml:space="preserve">Substance Use Disorder</w:t>
      </w:r>
      <w:r>
        <w:rPr>
          <w:i/>
          <w:iCs/>
        </w:rPr>
        <w:t xml:space="preserve">:</w:t>
      </w:r>
      <w:r>
        <w:rPr>
          <w:i/>
          <w:iCs/>
        </w:rPr>
        <w:t xml:space="preserve"> </w:t>
      </w:r>
      <w:r>
        <w:rPr>
          <w:i/>
          <w:iCs/>
        </w:rPr>
        <w:t xml:space="preserve">Practitioner Guide</w:t>
      </w:r>
      <w:r>
        <w:t xml:space="preserve">. Oxford University Press, 2019, p. 0.</w:t>
      </w:r>
    </w:p>
    <w:bookmarkEnd w:id="64"/>
    <w:bookmarkStart w:id="66" w:name="ref-clevelandRecoveryRecoveryCapital2021"/>
    <w:p>
      <w:pPr>
        <w:pStyle w:val="Bibliography"/>
      </w:pPr>
      <w:r>
        <w:t xml:space="preserve">7.</w:t>
      </w:r>
      <w:r>
        <w:t xml:space="preserve"> </w:t>
      </w:r>
      <w:r>
        <w:t xml:space="preserve">	</w:t>
      </w:r>
      <w:r>
        <w:t xml:space="preserve">Cleveland HH, Brick TR, Knapp KS, et al.</w:t>
      </w:r>
      <w:r>
        <w:t xml:space="preserve"> </w:t>
      </w:r>
      <w:hyperlink r:id="rId65">
        <w:r>
          <w:rPr>
            <w:rStyle w:val="Hyperlink"/>
          </w:rPr>
          <w:t xml:space="preserve">Recovery and</w:t>
        </w:r>
        <w:r>
          <w:rPr>
            <w:rStyle w:val="Hyperlink"/>
          </w:rPr>
          <w:t xml:space="preserve"> </w:t>
        </w:r>
        <w:r>
          <w:rPr>
            <w:rStyle w:val="Hyperlink"/>
          </w:rPr>
          <w:t xml:space="preserve">Recovery Capital</w:t>
        </w:r>
        <w:r>
          <w:rPr>
            <w:rStyle w:val="Hyperlink"/>
          </w:rPr>
          <w:t xml:space="preserve">:</w:t>
        </w:r>
        <w:r>
          <w:rPr>
            <w:rStyle w:val="Hyperlink"/>
          </w:rPr>
          <w:t xml:space="preserve"> </w:t>
        </w:r>
        <w:r>
          <w:rPr>
            <w:rStyle w:val="Hyperlink"/>
          </w:rPr>
          <w:t xml:space="preserve">Aligning Measurement</w:t>
        </w:r>
        <w:r>
          <w:rPr>
            <w:rStyle w:val="Hyperlink"/>
          </w:rPr>
          <w:t xml:space="preserve"> </w:t>
        </w:r>
        <w:r>
          <w:rPr>
            <w:rStyle w:val="Hyperlink"/>
          </w:rPr>
          <w:t xml:space="preserve">with</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Practice</w:t>
        </w:r>
      </w:hyperlink>
      <w:r>
        <w:t xml:space="preserve">. In: Croff JM, Beaman J (eds)</w:t>
      </w:r>
      <w:r>
        <w:t xml:space="preserve"> </w:t>
      </w:r>
      <w:r>
        <w:rPr>
          <w:i/>
          <w:iCs/>
        </w:rPr>
        <w:t xml:space="preserve">Family</w:t>
      </w:r>
      <w:r>
        <w:rPr>
          <w:i/>
          <w:iCs/>
        </w:rPr>
        <w:t xml:space="preserve"> </w:t>
      </w:r>
      <w:r>
        <w:rPr>
          <w:i/>
          <w:iCs/>
        </w:rPr>
        <w:t xml:space="preserve">Resilience</w:t>
      </w:r>
      <w:r>
        <w:rPr>
          <w:i/>
          <w:iCs/>
        </w:rPr>
        <w:t xml:space="preserve"> </w:t>
      </w:r>
      <w:r>
        <w:rPr>
          <w:i/>
          <w:iCs/>
        </w:rPr>
        <w:t xml:space="preserve">and</w:t>
      </w:r>
      <w:r>
        <w:rPr>
          <w:i/>
          <w:iCs/>
        </w:rPr>
        <w:t xml:space="preserve"> </w:t>
      </w:r>
      <w:r>
        <w:rPr>
          <w:i/>
          <w:iCs/>
        </w:rPr>
        <w:t xml:space="preserve">Recovery</w:t>
      </w:r>
      <w:r>
        <w:rPr>
          <w:i/>
          <w:iCs/>
        </w:rPr>
        <w:t xml:space="preserve"> </w:t>
      </w:r>
      <w:r>
        <w:rPr>
          <w:i/>
          <w:iCs/>
        </w:rPr>
        <w:t xml:space="preserve">from</w:t>
      </w:r>
      <w:r>
        <w:rPr>
          <w:i/>
          <w:iCs/>
        </w:rPr>
        <w:t xml:space="preserve"> </w:t>
      </w:r>
      <w:r>
        <w:rPr>
          <w:i/>
          <w:iCs/>
        </w:rPr>
        <w:t xml:space="preserve">Opioids</w:t>
      </w:r>
      <w:r>
        <w:rPr>
          <w:i/>
          <w:iCs/>
        </w:rPr>
        <w:t xml:space="preserve"> </w:t>
      </w:r>
      <w:r>
        <w:rPr>
          <w:i/>
          <w:iCs/>
        </w:rPr>
        <w:t xml:space="preserve">and</w:t>
      </w:r>
      <w:r>
        <w:rPr>
          <w:i/>
          <w:iCs/>
        </w:rPr>
        <w:t xml:space="preserve"> </w:t>
      </w:r>
      <w:r>
        <w:rPr>
          <w:i/>
          <w:iCs/>
        </w:rPr>
        <w:t xml:space="preserve">Other Addictions</w:t>
      </w:r>
      <w:r>
        <w:t xml:space="preserve">. Cham: Springer International Publishing, 2021, pp. 109–128.</w:t>
      </w:r>
    </w:p>
    <w:bookmarkEnd w:id="66"/>
    <w:bookmarkStart w:id="68" w:name="ref-mohrPersonalSensingUnderstanding2017"/>
    <w:p>
      <w:pPr>
        <w:pStyle w:val="Bibliography"/>
      </w:pPr>
      <w:r>
        <w:t xml:space="preserve">8.</w:t>
      </w:r>
      <w:r>
        <w:t xml:space="preserve"> </w:t>
      </w:r>
      <w:r>
        <w:t xml:space="preserve">	</w:t>
      </w:r>
      <w:r>
        <w:t xml:space="preserve">Mohr DC, Zhang M, Schueller SM.</w:t>
      </w:r>
      <w:r>
        <w:t xml:space="preserve"> </w:t>
      </w:r>
      <w:hyperlink r:id="rId67">
        <w:r>
          <w:rPr>
            <w:rStyle w:val="Hyperlink"/>
          </w:rPr>
          <w:t xml:space="preserve">Personal</w:t>
        </w:r>
        <w:r>
          <w:rPr>
            <w:rStyle w:val="Hyperlink"/>
          </w:rPr>
          <w:t xml:space="preserve"> </w:t>
        </w:r>
        <w:r>
          <w:rPr>
            <w:rStyle w:val="Hyperlink"/>
          </w:rPr>
          <w:t xml:space="preserve">Sensing</w:t>
        </w:r>
        <w:r>
          <w:rPr>
            <w:rStyle w:val="Hyperlink"/>
          </w:rPr>
          <w:t xml:space="preserve">:</w:t>
        </w:r>
        <w:r>
          <w:rPr>
            <w:rStyle w:val="Hyperlink"/>
          </w:rPr>
          <w:t xml:space="preserve"> </w:t>
        </w:r>
        <w:r>
          <w:rPr>
            <w:rStyle w:val="Hyperlink"/>
          </w:rPr>
          <w:t xml:space="preserve">Understanding Mental Health Using Ubiquitous Sensors</w:t>
        </w:r>
        <w:r>
          <w:rPr>
            <w:rStyle w:val="Hyperlink"/>
          </w:rPr>
          <w:t xml:space="preserve"> </w:t>
        </w:r>
        <w:r>
          <w:rPr>
            <w:rStyle w:val="Hyperlink"/>
          </w:rPr>
          <w:t xml:space="preserve">and</w:t>
        </w:r>
        <w:r>
          <w:rPr>
            <w:rStyle w:val="Hyperlink"/>
          </w:rPr>
          <w:t xml:space="preserve"> </w:t>
        </w:r>
        <w:r>
          <w:rPr>
            <w:rStyle w:val="Hyperlink"/>
          </w:rPr>
          <w:t xml:space="preserve">Machine Learning</w:t>
        </w:r>
      </w:hyperlink>
      <w:r>
        <w:t xml:space="preserve">.</w:t>
      </w:r>
      <w:r>
        <w:t xml:space="preserve"> </w:t>
      </w:r>
      <w:r>
        <w:rPr>
          <w:i/>
          <w:iCs/>
        </w:rPr>
        <w:t xml:space="preserve">Annual Review of Clinical Psychology</w:t>
      </w:r>
      <w:r>
        <w:t xml:space="preserve"> </w:t>
      </w:r>
      <w:r>
        <w:t xml:space="preserve">2017; 13: 23–47.</w:t>
      </w:r>
    </w:p>
    <w:bookmarkEnd w:id="68"/>
    <w:bookmarkStart w:id="70" w:name="ref-chihPredictiveModelingAddiction2014"/>
    <w:p>
      <w:pPr>
        <w:pStyle w:val="Bibliography"/>
      </w:pPr>
      <w:r>
        <w:t xml:space="preserve">9.</w:t>
      </w:r>
      <w:r>
        <w:t xml:space="preserve"> </w:t>
      </w:r>
      <w:r>
        <w:t xml:space="preserve">	</w:t>
      </w:r>
      <w:r>
        <w:t xml:space="preserve">Chih M-Y, Patton T, McTavish FM, et al.</w:t>
      </w:r>
      <w:r>
        <w:t xml:space="preserve"> </w:t>
      </w:r>
      <w:hyperlink r:id="rId69">
        <w:r>
          <w:rPr>
            <w:rStyle w:val="Hyperlink"/>
          </w:rPr>
          <w:t xml:space="preserve">Predictive modeling of addiction lapses in a mobile health application</w:t>
        </w:r>
      </w:hyperlink>
      <w:r>
        <w:t xml:space="preserve">.</w:t>
      </w:r>
      <w:r>
        <w:t xml:space="preserve"> </w:t>
      </w:r>
      <w:r>
        <w:rPr>
          <w:i/>
          <w:iCs/>
        </w:rPr>
        <w:t xml:space="preserve">Journal of Substance Abuse Treatment</w:t>
      </w:r>
      <w:r>
        <w:t xml:space="preserve"> </w:t>
      </w:r>
      <w:r>
        <w:t xml:space="preserve">2014; 46: 29–35.</w:t>
      </w:r>
    </w:p>
    <w:bookmarkEnd w:id="70"/>
    <w:bookmarkStart w:id="72" w:name="ref-wyantMachineLearningModels2024"/>
    <w:p>
      <w:pPr>
        <w:pStyle w:val="Bibliography"/>
      </w:pPr>
      <w:r>
        <w:t xml:space="preserve">10.</w:t>
      </w:r>
      <w:r>
        <w:t xml:space="preserve"> </w:t>
      </w:r>
      <w:r>
        <w:t xml:space="preserve">	</w:t>
      </w:r>
      <w:r>
        <w:t xml:space="preserve">Wyant K, Sant’Ana SJ, Fronk GE, et al.</w:t>
      </w:r>
      <w:r>
        <w:t xml:space="preserve"> </w:t>
      </w:r>
      <w:hyperlink r:id="rId71">
        <w:r>
          <w:rPr>
            <w:rStyle w:val="Hyperlink"/>
          </w:rPr>
          <w:t xml:space="preserve">Machine learning models for temporally precise lapse prediction in alcohol use disorder</w:t>
        </w:r>
      </w:hyperlink>
      <w:r>
        <w:t xml:space="preserve">.</w:t>
      </w:r>
      <w:r>
        <w:t xml:space="preserve"> </w:t>
      </w:r>
      <w:r>
        <w:rPr>
          <w:i/>
          <w:iCs/>
        </w:rPr>
        <w:t xml:space="preserve">Journal of Psychopathology and Clinical Science</w:t>
      </w:r>
      <w:r>
        <w:t xml:space="preserve"> </w:t>
      </w:r>
      <w:r>
        <w:t xml:space="preserve">2024; 133: 527–540.</w:t>
      </w:r>
    </w:p>
    <w:bookmarkEnd w:id="72"/>
    <w:bookmarkStart w:id="73" w:name="Xd3cf5dced997940b3810fae8f5a19eca304449d"/>
    <w:p>
      <w:pPr>
        <w:pStyle w:val="Bibliography"/>
      </w:pPr>
      <w:r>
        <w:t xml:space="preserve">11.</w:t>
      </w:r>
      <w:r>
        <w:t xml:space="preserve"> </w:t>
      </w:r>
      <w:r>
        <w:t xml:space="preserve">	</w:t>
      </w:r>
      <w:r>
        <w:t xml:space="preserve">Wyant K, Fronk GE, Yu C, et al. Forecasting</w:t>
      </w:r>
      <w:r>
        <w:t xml:space="preserve"> </w:t>
      </w:r>
      <w:r>
        <w:t xml:space="preserve">Risk</w:t>
      </w:r>
      <w:r>
        <w:t xml:space="preserve"> </w:t>
      </w:r>
      <w:r>
        <w:t xml:space="preserve">of</w:t>
      </w:r>
      <w:r>
        <w:t xml:space="preserve"> </w:t>
      </w:r>
      <w:r>
        <w:t xml:space="preserve">Alcohol Lapse</w:t>
      </w:r>
      <w:r>
        <w:t xml:space="preserve"> </w:t>
      </w:r>
      <w:r>
        <w:t xml:space="preserve">up to</w:t>
      </w:r>
      <w:r>
        <w:t xml:space="preserve"> </w:t>
      </w:r>
      <w:r>
        <w:t xml:space="preserve">Two Weeks</w:t>
      </w:r>
      <w:r>
        <w:t xml:space="preserve"> </w:t>
      </w:r>
      <w:r>
        <w:t xml:space="preserve">in</w:t>
      </w:r>
      <w:r>
        <w:t xml:space="preserve"> </w:t>
      </w:r>
      <w:r>
        <w:t xml:space="preserve">Advance</w:t>
      </w:r>
      <w:r>
        <w:t xml:space="preserve"> </w:t>
      </w:r>
      <w:r>
        <w:t xml:space="preserve">using</w:t>
      </w:r>
      <w:r>
        <w:t xml:space="preserve"> </w:t>
      </w:r>
      <w:r>
        <w:t xml:space="preserve">Time-lagged Machine Learning Models</w:t>
      </w:r>
      <w:r>
        <w:t xml:space="preserve">.</w:t>
      </w:r>
    </w:p>
    <w:bookmarkEnd w:id="73"/>
    <w:bookmarkStart w:id="75" w:name="X9dfa929848d202736296032659cec14e42606bb"/>
    <w:p>
      <w:pPr>
        <w:pStyle w:val="Bibliography"/>
      </w:pPr>
      <w:r>
        <w:t xml:space="preserve">12.</w:t>
      </w:r>
      <w:r>
        <w:t xml:space="preserve"> </w:t>
      </w:r>
      <w:r>
        <w:t xml:space="preserve">	</w:t>
      </w:r>
      <w:r>
        <w:t xml:space="preserve">Jones A, Remmerswaal D, Verveer I, et al.</w:t>
      </w:r>
      <w:r>
        <w:t xml:space="preserve"> </w:t>
      </w:r>
      <w:hyperlink r:id="rId74">
        <w:r>
          <w:rPr>
            <w:rStyle w:val="Hyperlink"/>
          </w:rPr>
          <w:t xml:space="preserve">Compliance with ecological momentary assessment protocols in substance users: A meta-analysis</w:t>
        </w:r>
      </w:hyperlink>
      <w:r>
        <w:t xml:space="preserve">.</w:t>
      </w:r>
      <w:r>
        <w:t xml:space="preserve"> </w:t>
      </w:r>
      <w:r>
        <w:rPr>
          <w:i/>
          <w:iCs/>
        </w:rPr>
        <w:t xml:space="preserve">Addiction (Abingdon, England)</w:t>
      </w:r>
      <w:r>
        <w:t xml:space="preserve"> </w:t>
      </w:r>
      <w:r>
        <w:t xml:space="preserve">2019; 114: 609–619.</w:t>
      </w:r>
    </w:p>
    <w:bookmarkEnd w:id="75"/>
    <w:bookmarkStart w:id="77" w:name="Xb35ee182d565575e339a0170868456c1684f821"/>
    <w:p>
      <w:pPr>
        <w:pStyle w:val="Bibliography"/>
      </w:pPr>
      <w:r>
        <w:t xml:space="preserve">13.</w:t>
      </w:r>
      <w:r>
        <w:t xml:space="preserve"> </w:t>
      </w:r>
      <w:r>
        <w:t xml:space="preserve">	</w:t>
      </w:r>
      <w:r>
        <w:t xml:space="preserve">Wyant K, Moshontz H, Ward SB, et al.</w:t>
      </w:r>
      <w:r>
        <w:t xml:space="preserve"> </w:t>
      </w:r>
      <w:hyperlink r:id="rId76">
        <w:r>
          <w:rPr>
            <w:rStyle w:val="Hyperlink"/>
          </w:rPr>
          <w:t xml:space="preserve">Acceptability of</w:t>
        </w:r>
        <w:r>
          <w:rPr>
            <w:rStyle w:val="Hyperlink"/>
          </w:rPr>
          <w:t xml:space="preserve"> </w:t>
        </w:r>
        <w:r>
          <w:rPr>
            <w:rStyle w:val="Hyperlink"/>
          </w:rPr>
          <w:t xml:space="preserve">Personal Sensing Among People With Alcohol Use Disorder</w:t>
        </w:r>
        <w:r>
          <w:rPr>
            <w:rStyle w:val="Hyperlink"/>
          </w:rPr>
          <w:t xml:space="preserve">:</w:t>
        </w:r>
        <w:r>
          <w:rPr>
            <w:rStyle w:val="Hyperlink"/>
          </w:rPr>
          <w:t xml:space="preserve"> </w:t>
        </w:r>
        <w:r>
          <w:rPr>
            <w:rStyle w:val="Hyperlink"/>
          </w:rPr>
          <w:t xml:space="preserve">Observational Study</w:t>
        </w:r>
      </w:hyperlink>
      <w:r>
        <w:t xml:space="preserve">.</w:t>
      </w:r>
      <w:r>
        <w:t xml:space="preserve"> </w:t>
      </w:r>
      <w:r>
        <w:rPr>
          <w:i/>
          <w:iCs/>
        </w:rPr>
        <w:t xml:space="preserve">JMIR mHealth and uHealth</w:t>
      </w:r>
      <w:r>
        <w:t xml:space="preserve"> </w:t>
      </w:r>
      <w:r>
        <w:t xml:space="preserve">2023; 11: e41833.</w:t>
      </w:r>
    </w:p>
    <w:bookmarkEnd w:id="77"/>
    <w:bookmarkStart w:id="78" w:name="ref-derogatislBriefSymptomInventory"/>
    <w:p>
      <w:pPr>
        <w:pStyle w:val="Bibliography"/>
      </w:pPr>
      <w:r>
        <w:t xml:space="preserve">14.</w:t>
      </w:r>
      <w:r>
        <w:t xml:space="preserve"> </w:t>
      </w:r>
      <w:r>
        <w:t xml:space="preserve">	</w:t>
      </w:r>
      <w:r>
        <w:t xml:space="preserve">Derogatis, L.R.</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Minneapolis: NCS Pearson, 2000.</w:t>
      </w:r>
    </w:p>
    <w:bookmarkEnd w:id="78"/>
    <w:bookmarkStart w:id="79" w:name="ref-hurlbutAssessingAlcoholProblems1992"/>
    <w:p>
      <w:pPr>
        <w:pStyle w:val="Bibliography"/>
      </w:pPr>
      <w:r>
        <w:t xml:space="preserve">15.</w:t>
      </w:r>
      <w:r>
        <w:t xml:space="preserve"> </w:t>
      </w:r>
      <w:r>
        <w:t xml:space="preserve">	</w:t>
      </w:r>
      <w:r>
        <w:t xml:space="preserve">Hurlbut SC, Sher KJ. Assessing alcohol problems in college students.</w:t>
      </w:r>
      <w:r>
        <w:t xml:space="preserve"> </w:t>
      </w:r>
      <w:r>
        <w:rPr>
          <w:i/>
          <w:iCs/>
        </w:rPr>
        <w:t xml:space="preserve">Journal of American College Health</w:t>
      </w:r>
      <w:r>
        <w:t xml:space="preserve"> </w:t>
      </w:r>
      <w:r>
        <w:t xml:space="preserve">1992; 41: 49–58.</w:t>
      </w:r>
    </w:p>
    <w:bookmarkEnd w:id="79"/>
    <w:bookmarkStart w:id="81" w:name="Xcae8ce16b0973d3f8a23c89fe6ee90c012f333c"/>
    <w:p>
      <w:pPr>
        <w:pStyle w:val="Bibliography"/>
      </w:pPr>
      <w:r>
        <w:t xml:space="preserve">16.</w:t>
      </w:r>
      <w:r>
        <w:t xml:space="preserve"> </w:t>
      </w:r>
      <w:r>
        <w:t xml:space="preserve">	</w:t>
      </w:r>
      <w:r>
        <w:t xml:space="preserve">McKiernan P, Cloud R, Patterson DA, et al.</w:t>
      </w:r>
      <w:r>
        <w:t xml:space="preserve"> </w:t>
      </w:r>
      <w:hyperlink r:id="rId80">
        <w:r>
          <w:rPr>
            <w:rStyle w:val="Hyperlink"/>
          </w:rPr>
          <w:t xml:space="preserve">Development of a</w:t>
        </w:r>
        <w:r>
          <w:rPr>
            <w:rStyle w:val="Hyperlink"/>
          </w:rPr>
          <w:t xml:space="preserve"> </w:t>
        </w:r>
        <w:r>
          <w:rPr>
            <w:rStyle w:val="Hyperlink"/>
          </w:rPr>
          <w:t xml:space="preserve">Brief Abstinence Self-Efficacy Measure</w:t>
        </w:r>
      </w:hyperlink>
      <w:r>
        <w:t xml:space="preserve">.</w:t>
      </w:r>
      <w:r>
        <w:t xml:space="preserve"> </w:t>
      </w:r>
      <w:r>
        <w:rPr>
          <w:i/>
          <w:iCs/>
        </w:rPr>
        <w:t xml:space="preserve">Journal of social work practice in the addictions</w:t>
      </w:r>
      <w:r>
        <w:t xml:space="preserve"> </w:t>
      </w:r>
      <w:r>
        <w:t xml:space="preserve">2011; 11: 245–253.</w:t>
      </w:r>
    </w:p>
    <w:bookmarkEnd w:id="81"/>
    <w:bookmarkStart w:id="83" w:name="X72fdb242290119aefa439c46cdcc18630f6c0fa"/>
    <w:p>
      <w:pPr>
        <w:pStyle w:val="Bibliography"/>
      </w:pPr>
      <w:r>
        <w:t xml:space="preserve">17.</w:t>
      </w:r>
      <w:r>
        <w:t xml:space="preserve"> </w:t>
      </w:r>
      <w:r>
        <w:t xml:space="preserve">	</w:t>
      </w:r>
      <w:r>
        <w:t xml:space="preserve">Flannery BA, Volpicelli JR, Pettinati HM.</w:t>
      </w:r>
      <w:r>
        <w:t xml:space="preserve"> </w:t>
      </w:r>
      <w:hyperlink r:id="rId82">
        <w:r>
          <w:rPr>
            <w:rStyle w:val="Hyperlink"/>
          </w:rPr>
          <w:t xml:space="preserve">Psychometric properties of the</w:t>
        </w:r>
        <w:r>
          <w:rPr>
            <w:rStyle w:val="Hyperlink"/>
          </w:rPr>
          <w:t xml:space="preserve"> </w:t>
        </w:r>
        <w:r>
          <w:rPr>
            <w:rStyle w:val="Hyperlink"/>
          </w:rPr>
          <w:t xml:space="preserve">Penn Alcohol Craving Scale</w:t>
        </w:r>
      </w:hyperlink>
      <w:r>
        <w:t xml:space="preserve">.</w:t>
      </w:r>
      <w:r>
        <w:t xml:space="preserve"> </w:t>
      </w:r>
      <w:r>
        <w:rPr>
          <w:i/>
          <w:iCs/>
        </w:rPr>
        <w:t xml:space="preserve">Alcoholism, clinical and experimental research</w:t>
      </w:r>
      <w:r>
        <w:t xml:space="preserve"> </w:t>
      </w:r>
      <w:r>
        <w:t xml:space="preserve">1999; 23: 1289–1295.</w:t>
      </w:r>
    </w:p>
    <w:bookmarkEnd w:id="83"/>
    <w:bookmarkStart w:id="85" w:name="X948b064f539498125570f43a275c11fe3804a5f"/>
    <w:p>
      <w:pPr>
        <w:pStyle w:val="Bibliography"/>
      </w:pPr>
      <w:r>
        <w:t xml:space="preserve">18.</w:t>
      </w:r>
      <w:r>
        <w:t xml:space="preserve"> </w:t>
      </w:r>
      <w:r>
        <w:t xml:space="preserve">	</w:t>
      </w:r>
      <w:r>
        <w:t xml:space="preserve">McDowell B, Dumais KM, Gary ST, et al.</w:t>
      </w:r>
      <w:r>
        <w:t xml:space="preserve"> </w:t>
      </w:r>
      <w:hyperlink r:id="rId84">
        <w:r>
          <w:rPr>
            <w:rStyle w:val="Hyperlink"/>
          </w:rPr>
          <w:t xml:space="preserve">Preferences and</w:t>
        </w:r>
        <w:r>
          <w:rPr>
            <w:rStyle w:val="Hyperlink"/>
          </w:rPr>
          <w:t xml:space="preserve"> </w:t>
        </w:r>
        <w:r>
          <w:rPr>
            <w:rStyle w:val="Hyperlink"/>
          </w:rPr>
          <w:t xml:space="preserve">Attitudes Towards Digital Communication</w:t>
        </w:r>
        <w:r>
          <w:rPr>
            <w:rStyle w:val="Hyperlink"/>
          </w:rPr>
          <w:t xml:space="preserve"> </w:t>
        </w:r>
        <w:r>
          <w:rPr>
            <w:rStyle w:val="Hyperlink"/>
          </w:rPr>
          <w:t xml:space="preserve">and</w:t>
        </w:r>
        <w:r>
          <w:rPr>
            <w:rStyle w:val="Hyperlink"/>
          </w:rPr>
          <w:t xml:space="preserve"> </w:t>
        </w:r>
        <w:r>
          <w:rPr>
            <w:rStyle w:val="Hyperlink"/>
          </w:rPr>
          <w:t xml:space="preserve">Symptom Reporting Methods</w:t>
        </w:r>
        <w:r>
          <w:rPr>
            <w:rStyle w:val="Hyperlink"/>
          </w:rPr>
          <w:t xml:space="preserve"> </w:t>
        </w:r>
        <w:r>
          <w:rPr>
            <w:rStyle w:val="Hyperlink"/>
          </w:rPr>
          <w:t xml:space="preserve">in</w:t>
        </w:r>
        <w:r>
          <w:rPr>
            <w:rStyle w:val="Hyperlink"/>
          </w:rPr>
          <w:t xml:space="preserve"> </w:t>
        </w:r>
        <w:r>
          <w:rPr>
            <w:rStyle w:val="Hyperlink"/>
          </w:rPr>
          <w:t xml:space="preserve">Clinical Trials</w:t>
        </w:r>
      </w:hyperlink>
      <w:r>
        <w:t xml:space="preserve">.</w:t>
      </w:r>
      <w:r>
        <w:t xml:space="preserve"> </w:t>
      </w:r>
      <w:r>
        <w:rPr>
          <w:i/>
          <w:iCs/>
        </w:rPr>
        <w:t xml:space="preserve">Patient preference and adherence</w:t>
      </w:r>
      <w:r>
        <w:t xml:space="preserve"> </w:t>
      </w:r>
      <w:r>
        <w:t xml:space="preserve">2025; 19: 255–263.</w:t>
      </w:r>
    </w:p>
    <w:bookmarkEnd w:id="85"/>
    <w:bookmarkStart w:id="87" w:name="ref-baeDetectingDrinkingEpisodes2017"/>
    <w:p>
      <w:pPr>
        <w:pStyle w:val="Bibliography"/>
      </w:pPr>
      <w:r>
        <w:t xml:space="preserve">19.</w:t>
      </w:r>
      <w:r>
        <w:t xml:space="preserve"> </w:t>
      </w:r>
      <w:r>
        <w:t xml:space="preserve">	</w:t>
      </w:r>
      <w:r>
        <w:t xml:space="preserve">Bae S, Ferreira D, Suffoletto B, et al.</w:t>
      </w:r>
      <w:r>
        <w:t xml:space="preserve"> </w:t>
      </w:r>
      <w:hyperlink r:id="rId86">
        <w:r>
          <w:rPr>
            <w:rStyle w:val="Hyperlink"/>
          </w:rPr>
          <w:t xml:space="preserve">Detecting</w:t>
        </w:r>
        <w:r>
          <w:rPr>
            <w:rStyle w:val="Hyperlink"/>
          </w:rPr>
          <w:t xml:space="preserve"> </w:t>
        </w:r>
        <w:r>
          <w:rPr>
            <w:rStyle w:val="Hyperlink"/>
          </w:rPr>
          <w:t xml:space="preserve">Drinking Episodes</w:t>
        </w:r>
        <w:r>
          <w:rPr>
            <w:rStyle w:val="Hyperlink"/>
          </w:rPr>
          <w:t xml:space="preserve"> </w:t>
        </w:r>
        <w:r>
          <w:rPr>
            <w:rStyle w:val="Hyperlink"/>
          </w:rPr>
          <w:t xml:space="preserve">in</w:t>
        </w:r>
        <w:r>
          <w:rPr>
            <w:rStyle w:val="Hyperlink"/>
          </w:rPr>
          <w:t xml:space="preserve"> </w:t>
        </w:r>
        <w:r>
          <w:rPr>
            <w:rStyle w:val="Hyperlink"/>
          </w:rPr>
          <w:t xml:space="preserve">Young Adults Using Smartphone-based Sensors</w:t>
        </w:r>
      </w:hyperlink>
      <w:r>
        <w:t xml:space="preserve">.</w:t>
      </w:r>
      <w:r>
        <w:t xml:space="preserve"> </w:t>
      </w:r>
      <w:r>
        <w:rPr>
          <w:i/>
          <w:iCs/>
        </w:rPr>
        <w:t xml:space="preserve">Proceedings of the ACM on Interactive, Mobile, Wearable and Ubiquitous Technologies</w:t>
      </w:r>
      <w:r>
        <w:t xml:space="preserve"> </w:t>
      </w:r>
      <w:r>
        <w:t xml:space="preserve">2017; 1: 1–36.</w:t>
      </w:r>
    </w:p>
    <w:bookmarkEnd w:id="87"/>
    <w:bookmarkStart w:id="89" w:name="ref-baeLeveragingMobilePhone2023"/>
    <w:p>
      <w:pPr>
        <w:pStyle w:val="Bibliography"/>
      </w:pPr>
      <w:r>
        <w:t xml:space="preserve">20.</w:t>
      </w:r>
      <w:r>
        <w:t xml:space="preserve"> </w:t>
      </w:r>
      <w:r>
        <w:t xml:space="preserve">	</w:t>
      </w:r>
      <w:r>
        <w:t xml:space="preserve">Bae SW, Suffoletto B, Zhang T, et al.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 Epub ahead of print February 2023. DOI:</w:t>
      </w:r>
      <w:r>
        <w:t xml:space="preserve"> </w:t>
      </w:r>
      <w:hyperlink r:id="rId88">
        <w:r>
          <w:rPr>
            <w:rStyle w:val="Hyperlink"/>
          </w:rPr>
          <w:t xml:space="preserve">10.2196/39862</w:t>
        </w:r>
      </w:hyperlink>
      <w:r>
        <w:t xml:space="preserve">.</w:t>
      </w:r>
    </w:p>
    <w:bookmarkEnd w:id="89"/>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(≥4 self-reported DSM-5 symptoms)</w:t>
      </w:r>
    </w:p>
  </w:footnote>
  <w:footnote w:id="23">
    <w:p>
      <w:pPr>
        <w:pStyle w:val="FootnoteText"/>
      </w:pPr>
      <w:r>
        <w:rPr>
          <w:rStyle w:val="FootnoteReference"/>
        </w:rPr>
        <w:footnoteRef/>
      </w:r>
      <w:r>
        <w:t xml:space="preserve"> </w:t>
      </w:r>
      <w:r>
        <w:t xml:space="preserve">Defined as scores &gt;2.2 or 2.8, respectively, on the psychosis or paranoia scales of the Symptom Checklist–90</w:t>
      </w:r>
      <w:r>
        <w:rPr>
          <w:vertAlign w:val="superscript"/>
        </w:rPr>
        <w:t xml:space="preserve">14</w:t>
      </w:r>
      <w:r>
        <w:t xml:space="preserve">.</w:t>
      </w:r>
    </w:p>
  </w:footnote>
  <w:footnote w:id="28">
    <w:p>
      <w:pPr>
        <w:pStyle w:val="FootnoteText"/>
      </w:pPr>
      <w:r>
        <w:rPr>
          <w:rStyle w:val="FootnoteReference"/>
        </w:rPr>
        <w:footnoteRef/>
      </w:r>
      <w:r>
        <w:t xml:space="preserve"> </w:t>
      </w:r>
      <w:r>
        <w:t xml:space="preserve">Residual SD ~ normal(0, exp(2)); intercept (centered predictors) ~ normal(2.3, 1.3); window-width contrasts ~ normal(0, 2.69); covariance ~ decov(1,1,1,1).</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hyperlink" Id="rId56" Target="https://doi.org/10.1001/jama.284.13.1689" TargetMode="External" /><Relationship Type="http://schemas.openxmlformats.org/officeDocument/2006/relationships/hyperlink" Id="rId65" Target="https://doi.org/10.1007/978-3-030-56958-7_6" TargetMode="External" /><Relationship Type="http://schemas.openxmlformats.org/officeDocument/2006/relationships/hyperlink" Id="rId69" Target="https://doi.org/10.1016/j.jsat.2013.08.004" TargetMode="External" /><Relationship Type="http://schemas.openxmlformats.org/officeDocument/2006/relationships/hyperlink" Id="rId71" Target="https://doi.org/10.1037/abn0000901" TargetMode="External" /><Relationship Type="http://schemas.openxmlformats.org/officeDocument/2006/relationships/hyperlink" Id="rId80" Target="https://doi.org/10.1080/1533256X.2011.593445" TargetMode="External" /><Relationship Type="http://schemas.openxmlformats.org/officeDocument/2006/relationships/hyperlink" Id="rId63" Target="https://doi.org/10.1093/med-psych/9780190926717.003.0018" TargetMode="External" /><Relationship Type="http://schemas.openxmlformats.org/officeDocument/2006/relationships/hyperlink" Id="rId86" Target="https://doi.org/10.1145/3090051" TargetMode="External" /><Relationship Type="http://schemas.openxmlformats.org/officeDocument/2006/relationships/hyperlink" Id="rId67" Target="https://doi.org/10.1146/annurev-clinpsy-032816-044949" TargetMode="External" /><Relationship Type="http://schemas.openxmlformats.org/officeDocument/2006/relationships/hyperlink" Id="rId84" Target="https://doi.org/10.2147/PPA.S474535" TargetMode="External" /><Relationship Type="http://schemas.openxmlformats.org/officeDocument/2006/relationships/hyperlink" Id="rId88" Target="https://doi.org/10.2196/39862" TargetMode="External" /><Relationship Type="http://schemas.openxmlformats.org/officeDocument/2006/relationships/hyperlink" Id="rId76" Target="https://doi.org/10.2196/41833" TargetMode="External" /><Relationship Type="http://schemas.openxmlformats.org/officeDocument/2006/relationships/hyperlink" Id="rId74" Target="https://doi.org/10/gfsjzg" TargetMode="External" /><Relationship Type="http://schemas.openxmlformats.org/officeDocument/2006/relationships/hyperlink" Id="rId29"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3" Target="https://jjcurtin.github.io/study_messages/notebooks\mak_figures-preview.html#cell-fig-1" TargetMode="External" /><Relationship Type="http://schemas.openxmlformats.org/officeDocument/2006/relationships/hyperlink" Id="rId31" Target="https://jjcurtin.github.io/study_messages/notebooks\mak_tables-preview.html#cell-tbl-1" TargetMode="External" /><Relationship Type="http://schemas.openxmlformats.org/officeDocument/2006/relationships/hyperlink" Id="rId36"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8" Target="https://www.ncbi.nlm.nih.gov/pmc/articles/PMC2797101" TargetMode="External" /><Relationship Type="http://schemas.openxmlformats.org/officeDocument/2006/relationships/hyperlink" Id="rId82" Target="https://www.ncbi.nlm.nih.gov/pubmed/10470970"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01/jama.284.13.1689" TargetMode="External" /><Relationship Type="http://schemas.openxmlformats.org/officeDocument/2006/relationships/hyperlink" Id="rId65" Target="https://doi.org/10.1007/978-3-030-56958-7_6" TargetMode="External" /><Relationship Type="http://schemas.openxmlformats.org/officeDocument/2006/relationships/hyperlink" Id="rId69" Target="https://doi.org/10.1016/j.jsat.2013.08.004" TargetMode="External" /><Relationship Type="http://schemas.openxmlformats.org/officeDocument/2006/relationships/hyperlink" Id="rId71" Target="https://doi.org/10.1037/abn0000901" TargetMode="External" /><Relationship Type="http://schemas.openxmlformats.org/officeDocument/2006/relationships/hyperlink" Id="rId80" Target="https://doi.org/10.1080/1533256X.2011.593445" TargetMode="External" /><Relationship Type="http://schemas.openxmlformats.org/officeDocument/2006/relationships/hyperlink" Id="rId63" Target="https://doi.org/10.1093/med-psych/9780190926717.003.0018" TargetMode="External" /><Relationship Type="http://schemas.openxmlformats.org/officeDocument/2006/relationships/hyperlink" Id="rId86" Target="https://doi.org/10.1145/3090051" TargetMode="External" /><Relationship Type="http://schemas.openxmlformats.org/officeDocument/2006/relationships/hyperlink" Id="rId67" Target="https://doi.org/10.1146/annurev-clinpsy-032816-044949" TargetMode="External" /><Relationship Type="http://schemas.openxmlformats.org/officeDocument/2006/relationships/hyperlink" Id="rId84" Target="https://doi.org/10.2147/PPA.S474535" TargetMode="External" /><Relationship Type="http://schemas.openxmlformats.org/officeDocument/2006/relationships/hyperlink" Id="rId88" Target="https://doi.org/10.2196/39862" TargetMode="External" /><Relationship Type="http://schemas.openxmlformats.org/officeDocument/2006/relationships/hyperlink" Id="rId76" Target="https://doi.org/10.2196/41833" TargetMode="External" /><Relationship Type="http://schemas.openxmlformats.org/officeDocument/2006/relationships/hyperlink" Id="rId74" Target="https://doi.org/10/gfsjzg" TargetMode="External" /><Relationship Type="http://schemas.openxmlformats.org/officeDocument/2006/relationships/hyperlink" Id="rId29" Target="https://jjcurtin.github.io/study_messages/" TargetMode="External" /><Relationship Type="http://schemas.openxmlformats.org/officeDocument/2006/relationships/hyperlink" Id="rId20" Target="https://jjcurtin.github.io/study_messages/index.qmd.html" TargetMode="External" /><Relationship Type="http://schemas.openxmlformats.org/officeDocument/2006/relationships/hyperlink" Id="rId43" Target="https://jjcurtin.github.io/study_messages/notebooks\mak_figures-preview.html#cell-fig-1" TargetMode="External" /><Relationship Type="http://schemas.openxmlformats.org/officeDocument/2006/relationships/hyperlink" Id="rId31" Target="https://jjcurtin.github.io/study_messages/notebooks\mak_tables-preview.html#cell-tbl-1" TargetMode="External" /><Relationship Type="http://schemas.openxmlformats.org/officeDocument/2006/relationships/hyperlink" Id="rId36" Target="https://jjcurtin.github.io/study_messages/notebooks\mak_tables-preview.html#cell-tbl-2" TargetMode="External" /><Relationship Type="http://schemas.openxmlformats.org/officeDocument/2006/relationships/hyperlink" Id="rId24" Target="https://osf.io/wgpz9/" TargetMode="External" /><Relationship Type="http://schemas.openxmlformats.org/officeDocument/2006/relationships/hyperlink" Id="rId58" Target="https://www.ncbi.nlm.nih.gov/pmc/articles/PMC2797101" TargetMode="External" /><Relationship Type="http://schemas.openxmlformats.org/officeDocument/2006/relationships/hyperlink" Id="rId82" Target="https://www.ncbi.nlm.nih.gov/pubmed/1047097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Coco Yu; John J. Curtin</dc:creator>
  <cp:keywords>Substance use disorders, Precision Medicine, Machine learning, Digital Phenotyping, Relapse Prevention</cp:keywords>
  <dcterms:created xsi:type="dcterms:W3CDTF">2026-01-17T03:22:53Z</dcterms:created>
  <dcterms:modified xsi:type="dcterms:W3CDTF">2026-01-17T03:22:53Z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Objective: We evaluated a machine learning model predicting next-day alcohol lapse among individuals in early recovery from AUD using contextualized cellular communication data and baseline demographic and AUD characteristics. Methods: A total of 144 participants (49% male; mean age=40; 87% non-Hispanic White) with a goal of abstinence provided cellular communication data and alcohol use reports via a 4x daily EMA for up to three months. Models were trained and evaluated using repeated k-fold cross-validation. Results: The best-performing model used an elastic net algorithm and retained 13 features (median posterior auROC = 0.68, 95% Bayesian credible interval (CI; [0.64, 0.71]). A baseline comparison model including only demographic and self-report measures retained five features and demonstrated nearly identical performance (median auROC = 0.68, 95% CI [0.64, 0.71]). 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sage-vancouver.csl</vt:lpwstr>
  </property>
  <property fmtid="{D5CDD505-2E9C-101B-9397-08002B2CF9AE}" pid="11" name="date">
    <vt:lpwstr>2026-01-16</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