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2026-01-18</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identified via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drunk alcohol with a given contact, or whether that contact supports their recovery goals could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5"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rPr>
          <w:vertAlign w:val="superscript"/>
        </w:rPr>
        <w:t xml:space="preserve">14</w:t>
      </w:r>
      <w:r>
        <w:t xml:space="preserve"> </w:t>
      </w:r>
      <w:r>
        <w:t xml:space="preserve">in the supplement. Second, our features, labels, questionnaires, and other study materials are publicly available on our Open Science Framework (OSF) page (</w:t>
      </w:r>
      <w:hyperlink r:id="rId22">
        <w:r>
          <w:rPr>
            <w:rStyle w:val="Hyperlink"/>
          </w:rPr>
          <w:t xml:space="preserve">https://osf.io/wgpz9/</w:t>
        </w:r>
      </w:hyperlink>
      <w:r>
        <w:t xml:space="preserve">). Finally, the annotated analysis scripts are publicly available on our study website (</w:t>
      </w:r>
      <w:hyperlink r:id="rId23">
        <w:r>
          <w:rPr>
            <w:rStyle w:val="Hyperlink"/>
          </w:rPr>
          <w:t xml:space="preserve">https://jjcurtin.github.io/study_messages/</w:t>
        </w:r>
      </w:hyperlink>
      <w:r>
        <w:t xml:space="preserve">).</w:t>
      </w:r>
    </w:p>
    <w:bookmarkEnd w:id="24"/>
    <w:bookmarkStart w:id="27" w:name="participants-and-procedure"/>
    <w:p>
      <w:pPr>
        <w:pStyle w:val="Heading2"/>
      </w:pPr>
      <w:r>
        <w:t xml:space="preserve">Participants and Procedure</w:t>
      </w:r>
    </w:p>
    <w:p>
      <w:pPr>
        <w:pStyle w:val="FirstParagraph"/>
      </w:pPr>
      <w:r>
        <w:t xml:space="preserve">We recruited 192 adults in early recovery from AUD in Madison, Wisconsin, through print and digital advertisements and partnerships with treatment centers. This sample size was determined based on traditional power analysis methods for logistic regression</w:t>
      </w:r>
      <w:r>
        <w:rPr>
          <w:vertAlign w:val="superscript"/>
        </w:rPr>
        <w:t xml:space="preserve">15</w:t>
      </w:r>
      <w:r>
        <w:t xml:space="preserve"> </w:t>
      </w:r>
      <w:r>
        <w:t xml:space="preserve">because comparable approaches for machine learning models have not yet been validated. Eligibility criteria required that participants were age 18 or older, able to read and write in English, had moderate to severe AUD</w:t>
      </w:r>
      <w:r>
        <w:t xml:space="preserve"> </w:t>
      </w:r>
      <w:r>
        <w:rPr>
          <w:rStyle w:val="FootnoteReference"/>
        </w:rPr>
        <w:footnoteReference w:id="25"/>
      </w:r>
      <w:r>
        <w:t xml:space="preserve">, had a goal of abstinence from alcohol at the time of the screening visit, had been abstinent for 1–8 weeks, were willing to use a single smartphone, and were not exhibiting severe psychosis or paranoia.</w:t>
      </w:r>
      <w:r>
        <w:rPr>
          <w:rStyle w:val="FootnoteReference"/>
        </w:rPr>
        <w:footnoteReference w:id="26"/>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rPr>
          <w:vertAlign w:val="superscript"/>
        </w:rPr>
        <w:t xml:space="preserve">17</w:t>
      </w:r>
      <w:r>
        <w:t xml:space="preserve">, and presence of psychological symptoms</w:t>
      </w:r>
      <w:r>
        <w:rPr>
          <w:vertAlign w:val="superscript"/>
        </w:rPr>
        <w:t xml:space="preserve">16</w:t>
      </w:r>
      <w:r>
        <w:t xml:space="preserve">). At the intake visit, approximately two weeks after screening, we collected additional self-report data on abstinence self-efficacy</w:t>
      </w:r>
      <w:r>
        <w:rPr>
          <w:vertAlign w:val="superscript"/>
        </w:rPr>
        <w:t xml:space="preserve">18</w:t>
      </w:r>
      <w:r>
        <w:t xml:space="preserve">, craving</w:t>
      </w:r>
      <w:r>
        <w:rPr>
          <w:vertAlign w:val="superscript"/>
        </w:rPr>
        <w:t xml:space="preserve">19</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rPr>
          <w:vertAlign w:val="superscript"/>
        </w:rP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22">
        <w:r>
          <w:rPr>
            <w:rStyle w:val="Hyperlink"/>
          </w:rPr>
          <w:t xml:space="preserve">https://osf.io/wgpz9/</w:t>
        </w:r>
      </w:hyperlink>
      <w:r>
        <w:t xml:space="preserve">).</w:t>
      </w:r>
    </w:p>
    <w:bookmarkEnd w:id="27"/>
    <w:bookmarkStart w:id="34" w:name="data-analysis-plan"/>
    <w:p>
      <w:pPr>
        <w:pStyle w:val="Heading2"/>
      </w:pPr>
      <w:r>
        <w:t xml:space="preserve">Data Analysis Plan</w:t>
      </w:r>
    </w:p>
    <w:bookmarkStart w:id="28"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8"/>
    <w:bookmarkStart w:id="31"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collected at screening and intake visits.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Feature Scoring Epochs, Total Number of Features, and Indication of Inclusion in Full and Baseline Models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3"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w:t>
      </w:r>
      <w:r>
        <w:rPr>
          <w:rStyle w:val="FootnoteReference"/>
        </w:rPr>
        <w:footnoteReference w:id="32"/>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w:t>
      </w:r>
    </w:p>
    <w:bookmarkEnd w:id="33"/>
    <w:bookmarkEnd w:id="34"/>
    <w:bookmarkEnd w:id="35"/>
    <w:bookmarkStart w:id="46" w:name="results"/>
    <w:p>
      <w:pPr>
        <w:pStyle w:val="Heading1"/>
      </w:pPr>
      <w:r>
        <w:t xml:space="preserve">Results</w:t>
      </w:r>
    </w:p>
    <w:bookmarkStart w:id="38" w:name="participants"/>
    <w:p>
      <w:pPr>
        <w:pStyle w:val="Heading2"/>
      </w:pPr>
      <w:r>
        <w:t xml:space="preserve">Participants</w:t>
      </w:r>
    </w:p>
    <w:p>
      <w:pPr>
        <w:pStyle w:val="FirstParagraph"/>
      </w:pPr>
      <w:r>
        <w:t xml:space="preserve">We screened 192 participants. Of these, 169 enrolled during the intake visit and 154 completed the first follow-up visit. We excluded data from one participant due to drinking multiple times a day every day on study, suggesting they did not have a goal of abstinence. We excluded data from one participant due to evidence of careless responding. We excluded data from one participant due to poor compliance with EMA resulting in questionable lapse labels.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6"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6"/>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39"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9"/>
    <w:bookmarkStart w:id="45"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achieved comparative performance to the full model (median auROC = 0.68, 95% CI [0.64, 0.71]). The median difference in auROC between the full and baseline models was less than .01, providing no evidence (52% probability) that the full model performed better than the baseline model.</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Bars with positive coefficient values represent features that, on average, lower lapse risk. Bars with negative coefficient values represent features that, on average, increase risk. Baseline features were collected via self-report measures at the screening and intake visits. Communication features were engineered from the contextualized cellular communications.</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bookmarkEnd w:id="45"/>
    <w:bookmarkEnd w:id="46"/>
    <w:bookmarkStart w:id="47"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20</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21</w:t>
      </w:r>
      <w:r>
        <w:t xml:space="preserve"> </w:t>
      </w:r>
      <w:r>
        <w:t xml:space="preserve">and predict future</w:t>
      </w:r>
      <w:r>
        <w:rPr>
          <w:vertAlign w:val="superscript"/>
        </w:rPr>
        <w:t xml:space="preserve">22</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7"/>
    <w:bookmarkStart w:id="48"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8"/>
    <w:bookmarkStart w:id="49" w:name="acknowledgments"/>
    <w:p>
      <w:pPr>
        <w:pStyle w:val="Heading1"/>
      </w:pPr>
      <w:r>
        <w:t xml:space="preserve">Acknowledgments</w:t>
      </w:r>
    </w:p>
    <w:p>
      <w:pPr>
        <w:pStyle w:val="FirstParagraph"/>
      </w:pPr>
      <w:r>
        <w:t xml:space="preserve">The authors wish to thank Susan E. Wanta for her role as the project administrator.</w:t>
      </w:r>
    </w:p>
    <w:bookmarkEnd w:id="49"/>
    <w:bookmarkStart w:id="57" w:name="statements-and-declarations"/>
    <w:p>
      <w:pPr>
        <w:pStyle w:val="Heading1"/>
      </w:pPr>
      <w:r>
        <w:t xml:space="preserve">Statements and Declarations</w:t>
      </w:r>
    </w:p>
    <w:bookmarkStart w:id="50"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50"/>
    <w:bookmarkStart w:id="51" w:name="consent-to-participate"/>
    <w:p>
      <w:pPr>
        <w:pStyle w:val="Heading2"/>
      </w:pPr>
      <w:r>
        <w:t xml:space="preserve">Consent to Participate</w:t>
      </w:r>
    </w:p>
    <w:p>
      <w:pPr>
        <w:pStyle w:val="FirstParagraph"/>
      </w:pPr>
      <w:r>
        <w:t xml:space="preserve">All participants provided written informed consent.</w:t>
      </w:r>
    </w:p>
    <w:bookmarkEnd w:id="51"/>
    <w:bookmarkStart w:id="52" w:name="consent-for-publication"/>
    <w:p>
      <w:pPr>
        <w:pStyle w:val="Heading2"/>
      </w:pPr>
      <w:r>
        <w:t xml:space="preserve">Consent for Publication</w:t>
      </w:r>
    </w:p>
    <w:p>
      <w:pPr>
        <w:pStyle w:val="FirstParagraph"/>
      </w:pPr>
      <w:r>
        <w:t xml:space="preserve">Not applicable.</w:t>
      </w:r>
    </w:p>
    <w:bookmarkEnd w:id="52"/>
    <w:bookmarkStart w:id="53" w:name="guarantor"/>
    <w:p>
      <w:pPr>
        <w:pStyle w:val="Heading2"/>
      </w:pPr>
      <w:r>
        <w:t xml:space="preserve">Guarantor</w:t>
      </w:r>
    </w:p>
    <w:p>
      <w:pPr>
        <w:pStyle w:val="FirstParagraph"/>
      </w:pPr>
      <w:r>
        <w:t xml:space="preserve">JJC</w:t>
      </w:r>
    </w:p>
    <w:bookmarkEnd w:id="53"/>
    <w:bookmarkStart w:id="54"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54"/>
    <w:bookmarkStart w:id="55"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5"/>
    <w:bookmarkStart w:id="56"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2">
        <w:r>
          <w:rPr>
            <w:rStyle w:val="Hyperlink"/>
          </w:rPr>
          <w:t xml:space="preserve">https://osf.io/wgpz9/</w:t>
        </w:r>
      </w:hyperlink>
      <w:r>
        <w:t xml:space="preserve">).</w:t>
      </w:r>
    </w:p>
    <w:p>
      <w:r>
        <w:br w:type="page"/>
      </w:r>
    </w:p>
    <w:bookmarkEnd w:id="56"/>
    <w:bookmarkEnd w:id="57"/>
    <w:bookmarkStart w:id="96" w:name="references"/>
    <w:p>
      <w:pPr>
        <w:pStyle w:val="Heading1"/>
      </w:pPr>
      <w:r>
        <w:t xml:space="preserve">References</w:t>
      </w:r>
    </w:p>
    <w:bookmarkStart w:id="95" w:name="refs"/>
    <w:bookmarkStart w:id="59" w:name="ref-mclellanDrugDependenceChronic2000"/>
    <w:p>
      <w:pPr>
        <w:pStyle w:val="Bibliography"/>
      </w:pPr>
      <w:r>
        <w:t xml:space="preserve">1.</w:t>
      </w:r>
      <w:r>
        <w:t xml:space="preserve"> </w:t>
      </w:r>
      <w:r>
        <w:t xml:space="preserve">	</w:t>
      </w:r>
      <w:r>
        <w:t xml:space="preserve">McLellan AT, Lewis DC, O’Brien CP, et al.</w:t>
      </w:r>
      <w:r>
        <w:t xml:space="preserve"> </w:t>
      </w:r>
      <w:hyperlink r:id="rId58">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9"/>
    <w:bookmarkStart w:id="61" w:name="ref-dennisManagingAddictionChronic2007"/>
    <w:p>
      <w:pPr>
        <w:pStyle w:val="Bibliography"/>
      </w:pPr>
      <w:r>
        <w:t xml:space="preserve">2.</w:t>
      </w:r>
      <w:r>
        <w:t xml:space="preserve"> </w:t>
      </w:r>
      <w:r>
        <w:t xml:space="preserve">	</w:t>
      </w:r>
      <w:r>
        <w:t xml:space="preserve">Dennis M, Scott CK.</w:t>
      </w:r>
      <w:r>
        <w:t xml:space="preserve"> </w:t>
      </w:r>
      <w:hyperlink r:id="rId60">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61"/>
    <w:bookmarkStart w:id="62"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62"/>
    <w:bookmarkStart w:id="63"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63"/>
    <w:bookmarkStart w:id="64"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64"/>
    <w:bookmarkStart w:id="66" w:name="ref-daleyReducingRiskRelapse2019"/>
    <w:p>
      <w:pPr>
        <w:pStyle w:val="Bibliography"/>
      </w:pPr>
      <w:r>
        <w:t xml:space="preserve">6.</w:t>
      </w:r>
      <w:r>
        <w:t xml:space="preserve"> </w:t>
      </w:r>
      <w:r>
        <w:t xml:space="preserve">	</w:t>
      </w:r>
      <w:r>
        <w:t xml:space="preserve">Daley DC, Douaihy A.</w:t>
      </w:r>
      <w:r>
        <w:t xml:space="preserve"> </w:t>
      </w:r>
      <w:hyperlink r:id="rId65">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6"/>
    <w:bookmarkStart w:id="68"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7">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8"/>
    <w:bookmarkStart w:id="70" w:name="ref-mohrPersonalSensingUnderstanding2017"/>
    <w:p>
      <w:pPr>
        <w:pStyle w:val="Bibliography"/>
      </w:pPr>
      <w:r>
        <w:t xml:space="preserve">8.</w:t>
      </w:r>
      <w:r>
        <w:t xml:space="preserve"> </w:t>
      </w:r>
      <w:r>
        <w:t xml:space="preserve">	</w:t>
      </w:r>
      <w:r>
        <w:t xml:space="preserve">Mohr DC, Zhang M, Schueller SM.</w:t>
      </w:r>
      <w:r>
        <w:t xml:space="preserve"> </w:t>
      </w:r>
      <w:hyperlink r:id="rId69">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70"/>
    <w:bookmarkStart w:id="72" w:name="ref-chihPredictiveModelingAddiction2014"/>
    <w:p>
      <w:pPr>
        <w:pStyle w:val="Bibliography"/>
      </w:pPr>
      <w:r>
        <w:t xml:space="preserve">9.</w:t>
      </w:r>
      <w:r>
        <w:t xml:space="preserve"> </w:t>
      </w:r>
      <w:r>
        <w:t xml:space="preserve">	</w:t>
      </w:r>
      <w:r>
        <w:t xml:space="preserve">Chih M-Y, Patton T, McTavish FM, et al.</w:t>
      </w:r>
      <w:r>
        <w:t xml:space="preserve"> </w:t>
      </w:r>
      <w:hyperlink r:id="rId71">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72"/>
    <w:bookmarkStart w:id="74" w:name="ref-wyantMachineLearningModels2024"/>
    <w:p>
      <w:pPr>
        <w:pStyle w:val="Bibliography"/>
      </w:pPr>
      <w:r>
        <w:t xml:space="preserve">10.</w:t>
      </w:r>
      <w:r>
        <w:t xml:space="preserve"> </w:t>
      </w:r>
      <w:r>
        <w:t xml:space="preserve">	</w:t>
      </w:r>
      <w:r>
        <w:t xml:space="preserve">Wyant K, Sant’Ana SJ, Fronk GE, et al.</w:t>
      </w:r>
      <w:r>
        <w:t xml:space="preserve"> </w:t>
      </w:r>
      <w:hyperlink r:id="rId73">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74"/>
    <w:bookmarkStart w:id="75"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5"/>
    <w:bookmarkStart w:id="77"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6">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7"/>
    <w:bookmarkStart w:id="79"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8">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9"/>
    <w:bookmarkStart w:id="81" w:name="X126aebe61d5329fdf5f31356b05d81ee3379203"/>
    <w:p>
      <w:pPr>
        <w:pStyle w:val="Bibliography"/>
      </w:pPr>
      <w:r>
        <w:t xml:space="preserve">14.</w:t>
      </w:r>
      <w:r>
        <w:t xml:space="preserve"> </w:t>
      </w:r>
      <w:r>
        <w:t xml:space="preserve">	</w:t>
      </w:r>
      <w:r>
        <w:t xml:space="preserve">Aczel B, Szaszi B, Sarafoglou A, et al.</w:t>
      </w:r>
      <w:r>
        <w:t xml:space="preserve"> </w:t>
      </w:r>
      <w:hyperlink r:id="rId80">
        <w:r>
          <w:rPr>
            <w:rStyle w:val="Hyperlink"/>
          </w:rPr>
          <w:t xml:space="preserve">A consensus-based transparency checklist</w:t>
        </w:r>
      </w:hyperlink>
      <w:r>
        <w:t xml:space="preserve">.</w:t>
      </w:r>
      <w:r>
        <w:t xml:space="preserve"> </w:t>
      </w:r>
      <w:r>
        <w:rPr>
          <w:i/>
          <w:iCs/>
        </w:rPr>
        <w:t xml:space="preserve">Nature Human Behaviour</w:t>
      </w:r>
      <w:r>
        <w:t xml:space="preserve"> </w:t>
      </w:r>
      <w:r>
        <w:t xml:space="preserve">2019; 1–3.</w:t>
      </w:r>
    </w:p>
    <w:bookmarkEnd w:id="81"/>
    <w:bookmarkStart w:id="82" w:name="ref-hsiehSampleSizeTables1989"/>
    <w:p>
      <w:pPr>
        <w:pStyle w:val="Bibliography"/>
      </w:pPr>
      <w:r>
        <w:t xml:space="preserve">15.</w:t>
      </w:r>
      <w:r>
        <w:t xml:space="preserve"> </w:t>
      </w:r>
      <w:r>
        <w:t xml:space="preserve">	</w:t>
      </w:r>
      <w:r>
        <w:t xml:space="preserve">Hsieh F. Sample size tables for logistic regression.</w:t>
      </w:r>
      <w:r>
        <w:t xml:space="preserve"> </w:t>
      </w:r>
      <w:r>
        <w:rPr>
          <w:i/>
          <w:iCs/>
        </w:rPr>
        <w:t xml:space="preserve">Statistics in Medicine</w:t>
      </w:r>
      <w:r>
        <w:t xml:space="preserve"> </w:t>
      </w:r>
      <w:r>
        <w:t xml:space="preserve">1989; 8: 795–802.</w:t>
      </w:r>
    </w:p>
    <w:bookmarkEnd w:id="82"/>
    <w:bookmarkStart w:id="83" w:name="ref-derogatislBriefSymptomInventory"/>
    <w:p>
      <w:pPr>
        <w:pStyle w:val="Bibliography"/>
      </w:pPr>
      <w:r>
        <w:t xml:space="preserve">16.</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83"/>
    <w:bookmarkStart w:id="84" w:name="ref-hurlbutAssessingAlcoholProblems1992"/>
    <w:p>
      <w:pPr>
        <w:pStyle w:val="Bibliography"/>
      </w:pPr>
      <w:r>
        <w:t xml:space="preserve">17.</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84"/>
    <w:bookmarkStart w:id="86" w:name="Xcae8ce16b0973d3f8a23c89fe6ee90c012f333c"/>
    <w:p>
      <w:pPr>
        <w:pStyle w:val="Bibliography"/>
      </w:pPr>
      <w:r>
        <w:t xml:space="preserve">18.</w:t>
      </w:r>
      <w:r>
        <w:t xml:space="preserve"> </w:t>
      </w:r>
      <w:r>
        <w:t xml:space="preserve">	</w:t>
      </w:r>
      <w:r>
        <w:t xml:space="preserve">McKiernan P, Cloud R, Patterson DA, et al.</w:t>
      </w:r>
      <w:r>
        <w:t xml:space="preserve"> </w:t>
      </w:r>
      <w:hyperlink r:id="rId85">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86"/>
    <w:bookmarkStart w:id="88" w:name="X72fdb242290119aefa439c46cdcc18630f6c0fa"/>
    <w:p>
      <w:pPr>
        <w:pStyle w:val="Bibliography"/>
      </w:pPr>
      <w:r>
        <w:t xml:space="preserve">19.</w:t>
      </w:r>
      <w:r>
        <w:t xml:space="preserve"> </w:t>
      </w:r>
      <w:r>
        <w:t xml:space="preserve">	</w:t>
      </w:r>
      <w:r>
        <w:t xml:space="preserve">Flannery BA, Volpicelli JR, Pettinati HM.</w:t>
      </w:r>
      <w:r>
        <w:t xml:space="preserve"> </w:t>
      </w:r>
      <w:hyperlink r:id="rId8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8"/>
    <w:bookmarkStart w:id="90" w:name="X948b064f539498125570f43a275c11fe3804a5f"/>
    <w:p>
      <w:pPr>
        <w:pStyle w:val="Bibliography"/>
      </w:pPr>
      <w:r>
        <w:t xml:space="preserve">20.</w:t>
      </w:r>
      <w:r>
        <w:t xml:space="preserve"> </w:t>
      </w:r>
      <w:r>
        <w:t xml:space="preserve">	</w:t>
      </w:r>
      <w:r>
        <w:t xml:space="preserve">McDowell B, Dumais KM, Gary ST, et al.</w:t>
      </w:r>
      <w:r>
        <w:t xml:space="preserve"> </w:t>
      </w:r>
      <w:hyperlink r:id="rId89">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90"/>
    <w:bookmarkStart w:id="92" w:name="ref-baeDetectingDrinkingEpisodes2017"/>
    <w:p>
      <w:pPr>
        <w:pStyle w:val="Bibliography"/>
      </w:pPr>
      <w:r>
        <w:t xml:space="preserve">21.</w:t>
      </w:r>
      <w:r>
        <w:t xml:space="preserve"> </w:t>
      </w:r>
      <w:r>
        <w:t xml:space="preserve">	</w:t>
      </w:r>
      <w:r>
        <w:t xml:space="preserve">Bae S, Ferreira D, Suffoletto B, et al.</w:t>
      </w:r>
      <w:r>
        <w:t xml:space="preserve"> </w:t>
      </w:r>
      <w:hyperlink r:id="rId91">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92"/>
    <w:bookmarkStart w:id="94" w:name="ref-baeLeveragingMobilePhone2023"/>
    <w:p>
      <w:pPr>
        <w:pStyle w:val="Bibliography"/>
      </w:pPr>
      <w:r>
        <w:t xml:space="preserve">22.</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93">
        <w:r>
          <w:rPr>
            <w:rStyle w:val="Hyperlink"/>
          </w:rPr>
          <w:t xml:space="preserve">10.2196/39862</w:t>
        </w:r>
      </w:hyperlink>
      <w:r>
        <w:t xml:space="preserve">.</w:t>
      </w:r>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(≥4 self-reported DSM-5 symptoms)</w:t>
      </w:r>
    </w:p>
  </w:footnote>
  <w:footnote w:id="26">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16</w:t>
      </w:r>
      <w:r>
        <w:t xml:space="preserve">.</w:t>
      </w:r>
    </w:p>
  </w:footnote>
  <w:footnote w:id="32">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58" Target="https://doi.org/10.1001/jama.284.13.1689" TargetMode="External" /><Relationship Type="http://schemas.openxmlformats.org/officeDocument/2006/relationships/hyperlink" Id="rId67" Target="https://doi.org/10.1007/978-3-030-56958-7_6" TargetMode="External" /><Relationship Type="http://schemas.openxmlformats.org/officeDocument/2006/relationships/hyperlink" Id="rId71" Target="https://doi.org/10.1016/j.jsat.2013.08.004" TargetMode="External" /><Relationship Type="http://schemas.openxmlformats.org/officeDocument/2006/relationships/hyperlink" Id="rId73" Target="https://doi.org/10.1037/abn0000901" TargetMode="External" /><Relationship Type="http://schemas.openxmlformats.org/officeDocument/2006/relationships/hyperlink" Id="rId80" Target="https://doi.org/10.1038/s41562-019-0772-6" TargetMode="External" /><Relationship Type="http://schemas.openxmlformats.org/officeDocument/2006/relationships/hyperlink" Id="rId85" Target="https://doi.org/10.1080/1533256X.2011.593445" TargetMode="External" /><Relationship Type="http://schemas.openxmlformats.org/officeDocument/2006/relationships/hyperlink" Id="rId65" Target="https://doi.org/10.1093/med-psych/9780190926717.003.0018" TargetMode="External" /><Relationship Type="http://schemas.openxmlformats.org/officeDocument/2006/relationships/hyperlink" Id="rId91" Target="https://doi.org/10.1145/3090051" TargetMode="External" /><Relationship Type="http://schemas.openxmlformats.org/officeDocument/2006/relationships/hyperlink" Id="rId69" Target="https://doi.org/10.1146/annurev-clinpsy-032816-044949" TargetMode="External" /><Relationship Type="http://schemas.openxmlformats.org/officeDocument/2006/relationships/hyperlink" Id="rId89" Target="https://doi.org/10.2147/PPA.S474535" TargetMode="External" /><Relationship Type="http://schemas.openxmlformats.org/officeDocument/2006/relationships/hyperlink" Id="rId93" Target="https://doi.org/10.2196/39862" TargetMode="External" /><Relationship Type="http://schemas.openxmlformats.org/officeDocument/2006/relationships/hyperlink" Id="rId78" Target="https://doi.org/10.2196/41833" TargetMode="External" /><Relationship Type="http://schemas.openxmlformats.org/officeDocument/2006/relationships/hyperlink" Id="rId76" Target="https://doi.org/10/gfsjzg" TargetMode="External" /><Relationship Type="http://schemas.openxmlformats.org/officeDocument/2006/relationships/hyperlink" Id="rId23"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4"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7" Target="https://jjcurtin.github.io/study_messages/notebooks\mak_tables-preview.html#cell-tbl-2" TargetMode="External" /><Relationship Type="http://schemas.openxmlformats.org/officeDocument/2006/relationships/hyperlink" Id="rId22" Target="https://osf.io/wgpz9/" TargetMode="External" /><Relationship Type="http://schemas.openxmlformats.org/officeDocument/2006/relationships/hyperlink" Id="rId60" Target="https://www.ncbi.nlm.nih.gov/pmc/articles/PMC2797101" TargetMode="External" /><Relationship Type="http://schemas.openxmlformats.org/officeDocument/2006/relationships/hyperlink" Id="rId8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1/jama.284.13.1689" TargetMode="External" /><Relationship Type="http://schemas.openxmlformats.org/officeDocument/2006/relationships/hyperlink" Id="rId67" Target="https://doi.org/10.1007/978-3-030-56958-7_6" TargetMode="External" /><Relationship Type="http://schemas.openxmlformats.org/officeDocument/2006/relationships/hyperlink" Id="rId71" Target="https://doi.org/10.1016/j.jsat.2013.08.004" TargetMode="External" /><Relationship Type="http://schemas.openxmlformats.org/officeDocument/2006/relationships/hyperlink" Id="rId73" Target="https://doi.org/10.1037/abn0000901" TargetMode="External" /><Relationship Type="http://schemas.openxmlformats.org/officeDocument/2006/relationships/hyperlink" Id="rId80" Target="https://doi.org/10.1038/s41562-019-0772-6" TargetMode="External" /><Relationship Type="http://schemas.openxmlformats.org/officeDocument/2006/relationships/hyperlink" Id="rId85" Target="https://doi.org/10.1080/1533256X.2011.593445" TargetMode="External" /><Relationship Type="http://schemas.openxmlformats.org/officeDocument/2006/relationships/hyperlink" Id="rId65" Target="https://doi.org/10.1093/med-psych/9780190926717.003.0018" TargetMode="External" /><Relationship Type="http://schemas.openxmlformats.org/officeDocument/2006/relationships/hyperlink" Id="rId91" Target="https://doi.org/10.1145/3090051" TargetMode="External" /><Relationship Type="http://schemas.openxmlformats.org/officeDocument/2006/relationships/hyperlink" Id="rId69" Target="https://doi.org/10.1146/annurev-clinpsy-032816-044949" TargetMode="External" /><Relationship Type="http://schemas.openxmlformats.org/officeDocument/2006/relationships/hyperlink" Id="rId89" Target="https://doi.org/10.2147/PPA.S474535" TargetMode="External" /><Relationship Type="http://schemas.openxmlformats.org/officeDocument/2006/relationships/hyperlink" Id="rId93" Target="https://doi.org/10.2196/39862" TargetMode="External" /><Relationship Type="http://schemas.openxmlformats.org/officeDocument/2006/relationships/hyperlink" Id="rId78" Target="https://doi.org/10.2196/41833" TargetMode="External" /><Relationship Type="http://schemas.openxmlformats.org/officeDocument/2006/relationships/hyperlink" Id="rId76" Target="https://doi.org/10/gfsjzg" TargetMode="External" /><Relationship Type="http://schemas.openxmlformats.org/officeDocument/2006/relationships/hyperlink" Id="rId23"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4"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7" Target="https://jjcurtin.github.io/study_messages/notebooks\mak_tables-preview.html#cell-tbl-2" TargetMode="External" /><Relationship Type="http://schemas.openxmlformats.org/officeDocument/2006/relationships/hyperlink" Id="rId22" Target="https://osf.io/wgpz9/" TargetMode="External" /><Relationship Type="http://schemas.openxmlformats.org/officeDocument/2006/relationships/hyperlink" Id="rId60" Target="https://www.ncbi.nlm.nih.gov/pmc/articles/PMC2797101" TargetMode="External" /><Relationship Type="http://schemas.openxmlformats.org/officeDocument/2006/relationships/hyperlink" Id="rId8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2026-01-19T01:54:45Z</dcterms:created>
  <dcterms:modified xsi:type="dcterms:W3CDTF">2026-01-19T01:54:45Z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