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0.png" ContentType="image/png"/>
  <Override PartName="/word/media/rId103.png" ContentType="image/png"/>
  <Override PartName="/word/media/rId108.png" ContentType="image/png"/>
  <Override PartName="/word/media/rId113.png" ContentType="image/png"/>
  <Override PartName="/word/media/rId54.png" ContentType="image/png"/>
  <Override PartName="/word/media/rId97.png" ContentType="image/png"/>
  <Override PartName="/word/media/rId92.png" ContentType="image/png"/>
  <Override PartName="/word/media/rId84.png" ContentType="image/png"/>
  <Override PartName="/word/media/rId75.png" ContentType="image/png"/>
  <Override PartName="/word/media/rId70.png" ContentType="image/png"/>
  <Override PartName="/word/media/rId60.png" ContentType="image/png"/>
  <Override PartName="/word/media/rId65.png" ContentType="image/png"/>
  <Override PartName="/word/media/rId119.png" ContentType="image/png"/>
  <Override PartName="/word/media/rId1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SMS</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2024-10-21</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r>
        <w:t xml:space="preserve">.</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w:t>
      </w:r>
    </w:p>
    <w:bookmarkEnd w:id="20"/>
    <w:bookmarkStart w:id="21" w:name="current-study"/>
    <w:p>
      <w:pPr>
        <w:pStyle w:val="Heading2"/>
      </w:pPr>
      <w:r>
        <w:t xml:space="preserve">Current Study</w:t>
      </w:r>
    </w:p>
    <w:p>
      <w:pPr>
        <w:pStyle w:val="FirstParagraph"/>
      </w:pPr>
      <w:r>
        <w:t xml:space="preserve">In the current study, we ran participants text messages over a period of three months feature engineering techniques through the LIWC program. We used generated features as inputs to models that predict alcohol lapses. We evaluated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LIWC to predict alcohol lapses.</w:t>
      </w:r>
      <w:r>
        <w:t xml:space="preserve"> </w:t>
      </w:r>
      <w:r>
        <w:t xml:space="preserve">We used LIWC to engineer features from raw SMS messages. For each distinct feature set derived from a variety of configurations, we trained machine learning models a contemporary statistical algorithms (XGBoost). We evaluated and statistically compared the model performance, quantified as area under the receiver operating characteristic curve (auROC).</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used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evaluated model performance in demographic subgroups that face excessive barriers accessing alcohol treatments or medications, including females, racial minorities, individuals living under poverty, and older population.</w:t>
      </w:r>
    </w:p>
    <w:p>
      <w:r>
        <w:br w:type="page"/>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 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might derive top-performing features from a theory-driven approach. A theory-driven approach involves integrating domain-specific knowledge of known risks for alcohol lapses from a relapse prevention model into the algorithms. Such features are pre-specified 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Smart DTx algorithms should also incorporate features that are interpretable and can map on to current interventions. Exemplary features that are highly interpretable include those derived from the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LIWC might have good performance because they allow researchers to mine previously established robust construct of alcohol lapse precursors. For example, LIWC has categories that are associated with affect and social process which are indicative of alcohol-related outcomes.</w:t>
      </w:r>
    </w:p>
    <w:p>
      <w:pPr>
        <w:pStyle w:val="BodyText"/>
      </w:pPr>
      <w:r>
        <w:t xml:space="preserve">NLP also offers avenues for model interpretation to yield valuable insights into treatment recommendations. LIWC can generate features that are highly interpretable and some might even relate to extant interventions.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utilized LIWC to predict lapses from SMS message content. More specifically, we compared different configurations varying in prediction window length and unit of analysis. We evaluated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53"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hyperlink w:anchor="fig-simp">
        <w:r>
          <w:rPr>
            <w:rStyle w:val="Hyperlink"/>
          </w:rPr>
          <w:t xml:space="preserve">Figure 1</w:t>
        </w:r>
      </w:hyperlink>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44" w:name="measures"/>
    <w:p>
      <w:pPr>
        <w:pStyle w:val="Heading2"/>
      </w:pPr>
      <w:r>
        <w:t xml:space="preserve">Measures</w:t>
      </w:r>
    </w:p>
    <w:bookmarkStart w:id="37"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hyperlink w:anchor="tbl-measur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asure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Log Type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Highest Education</w:t>
                  </w:r>
                </w:p>
              </w:tc>
            </w:tr>
            <w:tr>
              <w:tc>
                <w:tcPr/>
                <w:p>
                  <w:pPr>
                    <w:pStyle w:val="Compact"/>
                  </w:pPr>
                </w:p>
              </w:tc>
              <w:tc>
                <w:tcPr/>
                <w:p>
                  <w:pPr>
                    <w:pStyle w:val="Compact"/>
                    <w:jc w:val="left"/>
                    <w:jc w:val="center"/>
                  </w:pPr>
                  <w:r>
                    <w:t xml:space="preserve">Employment Status</w:t>
                  </w:r>
                </w:p>
              </w:tc>
            </w:tr>
            <w:tr>
              <w:tc>
                <w:tcPr/>
                <w:p>
                  <w:pPr>
                    <w:pStyle w:val="Compact"/>
                  </w:pPr>
                </w:p>
              </w:tc>
              <w:tc>
                <w:tcPr/>
                <w:p>
                  <w:pPr>
                    <w:pStyle w:val="Compact"/>
                    <w:jc w:val="left"/>
                    <w:jc w:val="center"/>
                  </w:pPr>
                  <w:r>
                    <w:t xml:space="preserve">Total Personal Gross Income</w:t>
                  </w:r>
                </w:p>
              </w:tc>
            </w:tr>
            <w:tr>
              <w:tc>
                <w:tcPr/>
                <w:p>
                  <w:pPr>
                    <w:pStyle w:val="Compact"/>
                  </w:pPr>
                </w:p>
              </w:tc>
              <w:tc>
                <w:tcPr/>
                <w:p>
                  <w:pPr>
                    <w:pStyle w:val="Compact"/>
                    <w:jc w:val="left"/>
                    <w:jc w:val="center"/>
                  </w:pPr>
                  <w:r>
                    <w:t xml:space="preserve">Marital Status</w:t>
                  </w:r>
                </w:p>
              </w:tc>
            </w:tr>
            <w:tr>
              <w:tc>
                <w:tcPr/>
                <w:p>
                  <w:pPr>
                    <w:pStyle w:val="Compact"/>
                  </w:pPr>
                </w:p>
              </w:tc>
              <w:tc>
                <w:tcPr/>
                <w:p>
                  <w:pPr>
                    <w:pStyle w:val="Compact"/>
                    <w:jc w:val="left"/>
                    <w:jc w:val="center"/>
                  </w:pPr>
                  <w:r>
                    <w:t xml:space="preserve">Family Member</w:t>
                  </w:r>
                </w:p>
              </w:tc>
            </w:tr>
            <w:tr>
              <w:tc>
                <w:tcPr/>
                <w:p>
                  <w:pPr>
                    <w:pStyle w:val="Compact"/>
                    <w:jc w:val="left"/>
                    <w:jc w:val="center"/>
                  </w:pPr>
                  <w:r>
                    <w:t xml:space="preserve">Alcohol Use</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p>
            <w:pPr>
              <w:jc w:val="center"/>
            </w:pPr>
            <w:pPr>
              <w:jc w:val="start"/>
              <w:spacing w:before="200"/>
              <w:pStyle w:val="ImageCaption"/>
            </w:pPr>
            <w:r>
              <w:t xml:space="preserve">Table 1: Participant self-reported measures</w:t>
            </w:r>
          </w:p>
          <w:bookmarkEnd w:id="36"/>
        </w:tc>
      </w:tr>
    </w:tbl>
    <w:bookmarkEnd w:id="37"/>
    <w:bookmarkStart w:id="38"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were used as a dichotomous outcome variable (Lapse vs. No Lapse). We predicted alcohol lapses in the next 24-hour window (i.e., next day lapse prediction). Every outcome window started from 4 a.m. everyday and end 24 hours later.</w:t>
      </w:r>
    </w:p>
    <w:bookmarkEnd w:id="38"/>
    <w:bookmarkStart w:id="43"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had predictor sets that differ in prediction window length and their analytic unit. We defined text prediction windows to be 3-day and 1-week preceding the lapse window (see</w:t>
      </w:r>
      <w:r>
        <w:t xml:space="preserve"> </w:t>
      </w:r>
      <w:hyperlink w:anchor="fig-window">
        <w:r>
          <w:rPr>
            <w:rStyle w:val="Hyperlink"/>
          </w:rPr>
          <w:t xml:space="preserve">Figure 2</w:t>
        </w:r>
      </w:hyperlink>
      <w:r>
        <w:t xml:space="preserve">). We analyzed the two prediction windows both individually and combined (i.e., three configurations in total).</w:t>
      </w:r>
    </w:p>
    <w:tbl>
      <w:tblPr>
        <w:tblStyle w:val="Table"/>
        <w:tblW w:type="pct" w:w="5000"/>
        <w:tblLayout w:type="fixed"/>
        <w:tblLook w:firstRow="0" w:lastRow="0" w:firstColumn="0" w:lastColumn="0" w:noHBand="0" w:noVBand="0" w:val="0000"/>
      </w:tblPr>
      <w:tblGrid>
        <w:gridCol w:w="7920"/>
      </w:tblGrid>
      <w:tr>
        <w:tc>
          <w:tcPr/>
          <w:bookmarkStart w:id="42" w:name="fig-window"/>
          <w:p>
            <w:pPr>
              <w:pStyle w:val="Compact"/>
              <w:jc w:val="center"/>
            </w:pPr>
            <w:r>
              <w:drawing>
                <wp:inline>
                  <wp:extent cx="5334000" cy="1045529"/>
                  <wp:effectExtent b="0" l="0" r="0" t="0"/>
                  <wp:docPr descr="" title="" id="40" name="Picture"/>
                  <a:graphic>
                    <a:graphicData uri="http://schemas.openxmlformats.org/drawingml/2006/picture">
                      <pic:pic>
                        <pic:nvPicPr>
                          <pic:cNvPr descr="images/prediction_window.png" id="41" name="Picture"/>
                          <pic:cNvPicPr>
                            <a:picLocks noChangeArrowheads="1" noChangeAspect="1"/>
                          </pic:cNvPicPr>
                        </pic:nvPicPr>
                        <pic:blipFill>
                          <a:blip r:embed="rId39"/>
                          <a:stretch>
                            <a:fillRect/>
                          </a:stretch>
                        </pic:blipFill>
                        <pic:spPr bwMode="auto">
                          <a:xfrm>
                            <a:off x="0" y="0"/>
                            <a:ext cx="5334000" cy="104552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Prediction Window</w:t>
            </w:r>
          </w:p>
          <w:bookmarkEnd w:id="42"/>
        </w:tc>
      </w:tr>
    </w:tbl>
    <w:bookmarkEnd w:id="43"/>
    <w:bookmarkEnd w:id="44"/>
    <w:bookmarkStart w:id="48" w:name="model-training"/>
    <w:p>
      <w:pPr>
        <w:pStyle w:val="Heading2"/>
      </w:pPr>
      <w:r>
        <w:t xml:space="preserve">Model Training</w:t>
      </w:r>
    </w:p>
    <w:bookmarkStart w:id="45" w:name="feature-engineering"/>
    <w:p>
      <w:pPr>
        <w:pStyle w:val="Heading3"/>
      </w:pPr>
      <w:r>
        <w:t xml:space="preserve">Feature Engineering</w:t>
      </w:r>
    </w:p>
    <w:p>
      <w:pPr>
        <w:pStyle w:val="FirstParagraph"/>
      </w:pPr>
      <w:r>
        <w:t xml:space="preserve">Text messages served as the only raw source for all feature engineering. The document sets (varying based on unit of analysis) went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which was the default choice from the program. We applied the normalization on all LIWC categories other than word count, word per sentence, and the four summary measures – analytic, clout, authenticity, and tone. We excluded the four summary categories because their raw scores were not normalized on raw word counts. Our normalization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(i.e., default method from the program), normalized on the square root of word count, and a combination of these two.</w:t>
      </w:r>
    </w:p>
    <w:bookmarkEnd w:id="45"/>
    <w:bookmarkStart w:id="46" w:name="candidate-algorithm"/>
    <w:p>
      <w:pPr>
        <w:pStyle w:val="Heading3"/>
      </w:pPr>
      <w:r>
        <w:t xml:space="preserve">Candidate Algorithm</w:t>
      </w:r>
    </w:p>
    <w:p>
      <w:pPr>
        <w:pStyle w:val="FirstParagraph"/>
      </w:pPr>
      <w:r>
        <w:t xml:space="preserve">We leveraged the XGBoost algorithm that differed on the above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As we have a fairly imbalanced class labels in our dataset (see</w:t>
      </w:r>
      <w:r>
        <w:t xml:space="preserve"> </w:t>
      </w:r>
      <w:r>
        <w:rPr>
          <w:i/>
          <w:iCs/>
        </w:rPr>
        <w:t xml:space="preserve">Section Sample Distribution</w:t>
      </w:r>
      <w:r>
        <w:t xml:space="preserve">), we further considered different resampling strategies including upsampling and downsampling with different ratios. Our decision to use the XGBoost algorithm was based on its two benefits. First, the algorithm has demonstrated satisfying performance in classifying lapse vs. no lapse in our lab’s previous work</w:t>
      </w:r>
      <w:r>
        <w:t xml:space="preserve"> </w:t>
      </w:r>
      <w:r>
        <w:t xml:space="preserve">(Wyant et al. 2024)</w:t>
      </w:r>
      <w:r>
        <w:t xml:space="preserve">. We can select the best model from a range of model-specific hyperparameters (mtry, tree depth, and learning rate), on top of the four above manually incorporated configurations. Second, XGBoost is well-suited to calculate Shapley values that can help us understand each feature’s contributions to model output (see</w:t>
      </w:r>
      <w:r>
        <w:t xml:space="preserve"> </w:t>
      </w:r>
      <w:r>
        <w:rPr>
          <w:i/>
          <w:iCs/>
        </w:rPr>
        <w:t xml:space="preserve">Section Feature Importance</w:t>
      </w:r>
      <w:r>
        <w:t xml:space="preserve">).</w:t>
      </w:r>
    </w:p>
    <w:bookmarkEnd w:id="46"/>
    <w:bookmarkStart w:id="47" w:name="model-selection"/>
    <w:p>
      <w:pPr>
        <w:pStyle w:val="Heading3"/>
      </w:pPr>
      <w:r>
        <w:t xml:space="preserve">Model Selection</w:t>
      </w:r>
    </w:p>
    <w:p>
      <w:pPr>
        <w:pStyle w:val="FirstParagraph"/>
      </w:pPr>
      <w:r>
        <w:t xml:space="preserve">We performed grouped, nested cross-validations to perform hyperparameter tuning and select the best model configuration. The dataset was participant-grouped so that each individual was assigned to either held-in or held-out set to avoid bias of predicting participants’ lapses using their own data. The nested cross-validation method uses two nested loops to divide folds. In the inner loop, held-out folds were used as a validation set for model selection. In the outer loop, held-out folds were utilized as a test set for model evaluation. We presented validation results from the 300 sets in the inner loop.</w:t>
      </w:r>
    </w:p>
    <w:p>
      <w:pPr>
        <w:pStyle w:val="BodyText"/>
      </w:pPr>
      <w:r>
        <w:t xml:space="preserve">The primary performance metric to select the best model configuration and evaluate the model performance on the test sets was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Across all models that differed on the above discussed configurations, the best model was selected based on the highest median auROC across all validation sets (see</w:t>
      </w:r>
      <w:r>
        <w:t xml:space="preserve"> </w:t>
      </w:r>
      <w:r>
        <w:rPr>
          <w:i/>
          <w:iCs/>
        </w:rPr>
        <w:t xml:space="preserve">Section Machine Learning Algorithm</w:t>
      </w:r>
      <w:r>
        <w:t xml:space="preserve">).</w:t>
      </w:r>
    </w:p>
    <w:bookmarkEnd w:id="47"/>
    <w:bookmarkEnd w:id="48"/>
    <w:bookmarkStart w:id="52" w:name="model-evaluation"/>
    <w:p>
      <w:pPr>
        <w:pStyle w:val="Heading2"/>
      </w:pPr>
      <w:r>
        <w:t xml:space="preserve">Model Evaluation</w:t>
      </w:r>
    </w:p>
    <w:bookmarkStart w:id="49" w:name="performance-evaluation"/>
    <w:p>
      <w:pPr>
        <w:pStyle w:val="Heading3"/>
      </w:pPr>
      <w:r>
        <w:t xml:space="preserve">Performance Evaluation</w:t>
      </w:r>
    </w:p>
    <w:p>
      <w:pPr>
        <w:pStyle w:val="FirstParagraph"/>
      </w:pPr>
      <w:r>
        <w:t xml:space="preserve">We calculated the predicted probability scores for all our observations based on the best model configuration and then obtained the median auROC score across all 300 validation sets in the inner fold. We further performed a Bayesian hierarchical generalized linear model to estimate the posterior probability (i.e., the likelihood of achieving the results given out data) distributions of the auROCs. The two random intercepts in the models included the repeat and the fold within repeat. We reported the 95% CIs for our models’ auROCs and determined if they included .5 (chance performance). If this CI included 0.5, we would conclude that our model performed no better than random guess.</w:t>
      </w:r>
    </w:p>
    <w:bookmarkEnd w:id="49"/>
    <w:bookmarkStart w:id="50" w:name="algorithmic-bias"/>
    <w:p>
      <w:pPr>
        <w:pStyle w:val="Heading3"/>
      </w:pPr>
      <w:r>
        <w:t xml:space="preserve">Algorithmic Bias</w:t>
      </w:r>
    </w:p>
    <w:p>
      <w:pPr>
        <w:pStyle w:val="FirstParagraph"/>
      </w:pPr>
      <w:r>
        <w:t xml:space="preserve">A subset of individual characteristic measures was used to evaluate model fairness on subgroups. We compared model performance among each sex, racial, age and income subgroups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regressed the auROCs from the 300 validation sets in the inner loop as a function of group membership (privileged group vs. unprivileged group within each of above individual characteristics). We reported the 95% CI for model performance differences and examined if they included 0. If this CI did not include 0, we would conclude that our model was unfair.</w:t>
      </w:r>
    </w:p>
    <w:bookmarkEnd w:id="50"/>
    <w:bookmarkStart w:id="51" w:name="feature-importance"/>
    <w:p>
      <w:pPr>
        <w:pStyle w:val="Heading3"/>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averaged the absolute value of all local Shapley values. For better understanding, we aggregated Shapley values for each LIWC category, regardless of their prediction window and normalization methods.</w:t>
      </w:r>
    </w:p>
    <w:p>
      <w:r>
        <w:br w:type="page"/>
      </w:r>
    </w:p>
    <w:bookmarkEnd w:id="51"/>
    <w:bookmarkEnd w:id="52"/>
    <w:bookmarkEnd w:id="53"/>
    <w:bookmarkStart w:id="132" w:name="results"/>
    <w:p>
      <w:pPr>
        <w:pStyle w:val="Heading1"/>
      </w:pPr>
      <w:r>
        <w:t xml:space="preserve">Results</w:t>
      </w:r>
    </w:p>
    <w:bookmarkStart w:id="59"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57" w:name="fig-demographics"/>
          <w:p>
            <w:pPr>
              <w:pStyle w:val="Compact"/>
              <w:jc w:val="center"/>
            </w:pPr>
            <w:r>
              <w:drawing>
                <wp:inline>
                  <wp:extent cx="5334000" cy="2667000"/>
                  <wp:effectExtent b="0" l="0" r="0" t="0"/>
                  <wp:docPr descr="" title="" id="55" name="Picture"/>
                  <a:graphic>
                    <a:graphicData uri="http://schemas.openxmlformats.org/drawingml/2006/picture">
                      <pic:pic>
                        <pic:nvPicPr>
                          <pic:cNvPr descr="index_files/figure-docx/notebooks-eda_demographics-fig-demographics-output-1.png" id="56" name="Picture"/>
                          <pic:cNvPicPr>
                            <a:picLocks noChangeArrowheads="1" noChangeAspect="1"/>
                          </pic:cNvPicPr>
                        </pic:nvPicPr>
                        <pic:blipFill>
                          <a:blip r:embed="rId5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Demographic Distribution</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EDA on Subject Demographics</w:t>
        </w:r>
      </w:hyperlink>
    </w:p>
    <w:bookmarkEnd w:id="59"/>
    <w:bookmarkStart w:id="80" w:name="sample-distribution"/>
    <w:p>
      <w:pPr>
        <w:pStyle w:val="Heading2"/>
      </w:pPr>
      <w:r>
        <w:t xml:space="preserve">Sample Distribution</w:t>
      </w:r>
    </w:p>
    <w:p>
      <w:pPr>
        <w:pStyle w:val="FirstParagraph"/>
      </w:pPr>
      <w:r>
        <w:t xml:space="preserve">The final total number of lapse labels in the dataset is 11562. 7.63% of the labels are associated with a lapse episode. On average, each participant has 83.78 labels (sd = 11.35, median = 88.00, range = 30 - 90; see</w:t>
      </w:r>
      <w:r>
        <w:t xml:space="preserve"> </w:t>
      </w:r>
      <w:hyperlink w:anchor="fig-lapse_count">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lapse_count"/>
          <w:p>
            <w:pPr>
              <w:pStyle w:val="Compact"/>
              <w:jc w:val="center"/>
            </w:pPr>
            <w:r>
              <w:drawing>
                <wp:inline>
                  <wp:extent cx="5334000" cy="3810000"/>
                  <wp:effectExtent b="0" l="0" r="0" t="0"/>
                  <wp:docPr descr="" title="" id="61" name="Picture"/>
                  <a:graphic>
                    <a:graphicData uri="http://schemas.openxmlformats.org/drawingml/2006/picture">
                      <pic:pic>
                        <pic:nvPicPr>
                          <pic:cNvPr descr="index_files/figure-docx/notebooks-eda_messages-fig-lapse_count-output-1.png" id="62" name="Picture"/>
                          <pic:cNvPicPr>
                            <a:picLocks noChangeArrowheads="1" noChangeAspect="1"/>
                          </pic:cNvPicPr>
                        </pic:nvPicPr>
                        <pic:blipFill>
                          <a:blip r:embed="rId6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Distribution of Lapse Label Counts</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100 - 15884). The average message length across all participants is 10.42 words (sd = 14.30, median = 7.00, range = 1 - 1266).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8" w:name="fig-raw"/>
          <w:p>
            <w:pPr>
              <w:pStyle w:val="Compact"/>
              <w:jc w:val="center"/>
            </w:pPr>
            <w:r>
              <w:drawing>
                <wp:inline>
                  <wp:extent cx="5334000" cy="3810000"/>
                  <wp:effectExtent b="0" l="0" r="0" t="0"/>
                  <wp:docPr descr="" title="" id="66" name="Picture"/>
                  <a:graphic>
                    <a:graphicData uri="http://schemas.openxmlformats.org/drawingml/2006/picture">
                      <pic:pic>
                        <pic:nvPicPr>
                          <pic:cNvPr descr="index_files/figure-docx/notebooks-eda_messages-fig-raw-output-1.png" id="67" name="Picture"/>
                          <pic:cNvPicPr>
                            <a:picLocks noChangeArrowheads="1" noChangeAspect="1"/>
                          </pic:cNvPicPr>
                        </pic:nvPicPr>
                        <pic:blipFill>
                          <a:blip r:embed="rId6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of Raw Messages</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EDA on Raw Messages</w:t>
        </w:r>
      </w:hyperlink>
    </w:p>
    <w:p>
      <w:pPr>
        <w:pStyle w:val="BodyText"/>
      </w:pPr>
      <w:r>
        <w:t xml:space="preserve">On average, each lapse label has 79.21 messages (sd = 112.13, median = 40.00, range = 1 - 1414)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73" w:name="fig-3day"/>
          <w:p>
            <w:pPr>
              <w:pStyle w:val="Compact"/>
              <w:jc w:val="center"/>
            </w:pPr>
            <w:r>
              <w:drawing>
                <wp:inline>
                  <wp:extent cx="5334000" cy="3810000"/>
                  <wp:effectExtent b="0" l="0" r="0" t="0"/>
                  <wp:docPr descr="" title="" id="71" name="Picture"/>
                  <a:graphic>
                    <a:graphicData uri="http://schemas.openxmlformats.org/drawingml/2006/picture">
                      <pic:pic>
                        <pic:nvPicPr>
                          <pic:cNvPr descr="index_files/figure-docx/notebooks-eda_messages-fig-3day-output-2.png" id="72" name="Picture"/>
                          <pic:cNvPicPr>
                            <a:picLocks noChangeArrowheads="1" noChangeAspect="1"/>
                          </pic:cNvPicPr>
                        </pic:nvPicPr>
                        <pic:blipFill>
                          <a:blip r:embed="rId7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3-Day Prediction Window</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EDA on Raw Messages</w:t>
        </w:r>
      </w:hyperlink>
    </w:p>
    <w:p>
      <w:pPr>
        <w:pStyle w:val="BodyText"/>
      </w:pPr>
      <w:r>
        <w:t xml:space="preserve">On average, each lapse label has 180.42 messages (sd = 241.30, median = 96.00, range = 1 - 2866)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8" w:name="fig-1week"/>
          <w:p>
            <w:pPr>
              <w:pStyle w:val="Compact"/>
              <w:jc w:val="center"/>
            </w:pPr>
            <w:r>
              <w:drawing>
                <wp:inline>
                  <wp:extent cx="5334000" cy="3810000"/>
                  <wp:effectExtent b="0" l="0" r="0" t="0"/>
                  <wp:docPr descr="" title="" id="76" name="Picture"/>
                  <a:graphic>
                    <a:graphicData uri="http://schemas.openxmlformats.org/drawingml/2006/picture">
                      <pic:pic>
                        <pic:nvPicPr>
                          <pic:cNvPr descr="index_files/figure-docx/notebooks-eda_messages-fig-1week-output-2.png" id="77" name="Picture"/>
                          <pic:cNvPicPr>
                            <a:picLocks noChangeArrowheads="1" noChangeAspect="1"/>
                          </pic:cNvPicPr>
                        </pic:nvPicPr>
                        <pic:blipFill>
                          <a:blip r:embed="rId7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Sample Characteristics in the 1-Week Prediction Window</w:t>
            </w:r>
          </w:p>
          <w:bookmarkEnd w:id="78"/>
        </w:tc>
      </w:tr>
    </w:tbl>
    <w:p>
      <w:pPr>
        <w:pStyle w:val="BodyText"/>
      </w:pPr>
      <w:r>
        <w:rPr>
          <w:vertAlign w:val="subscript"/>
        </w:rPr>
        <w:t xml:space="preserve">Source:</w:t>
      </w:r>
      <w:r>
        <w:rPr>
          <w:vertAlign w:val="subscript"/>
        </w:rPr>
        <w:t xml:space="preserve"> </w:t>
      </w:r>
      <w:hyperlink r:id="rId79">
        <w:r>
          <w:rPr>
            <w:rStyle w:val="Hyperlink"/>
            <w:vertAlign w:val="subscript"/>
          </w:rPr>
          <w:t xml:space="preserve">EDA on Raw Messages</w:t>
        </w:r>
      </w:hyperlink>
    </w:p>
    <w:bookmarkEnd w:id="80"/>
    <w:bookmarkStart w:id="102" w:name="liwc-features"/>
    <w:p>
      <w:pPr>
        <w:pStyle w:val="Heading2"/>
      </w:pPr>
      <w:r>
        <w:t xml:space="preserve">LIWC Features</w:t>
      </w:r>
    </w:p>
    <w:p>
      <w:pPr>
        <w:pStyle w:val="FirstParagraph"/>
      </w:pPr>
      <w:r>
        <w:t xml:space="preserve">We obtained LIWC scores from 117 linguistic categories. These categories include total word count, number of words per sentence, the four summary categories (analytic, clout, authentic, and tone), and other linguistic categories such as social and pronouns. Notably, LIWC-22 now incorporates a</w:t>
      </w:r>
      <w:r>
        <w:t xml:space="preserve"> </w:t>
      </w:r>
      <w:r>
        <w:rPr>
          <w:i/>
          <w:iCs/>
        </w:rPr>
        <w:t xml:space="preserve">health</w:t>
      </w:r>
      <w:r>
        <w:t xml:space="preserve"> </w:t>
      </w:r>
      <w:r>
        <w:t xml:space="preserve">dimension that includes phrases related to illness, wellness, mental health (diagnoses or behaviors), and substances. For each unit of analysis, we had 468 engineered features.</w:t>
      </w:r>
    </w:p>
    <w:p>
      <w:pPr>
        <w:pStyle w:val="BodyText"/>
      </w:pPr>
      <w:r>
        <w:t xml:space="preserve">When our unit of analysis was on individual messages (see</w:t>
      </w:r>
      <w:r>
        <w:t xml:space="preserve"> </w:t>
      </w:r>
      <w:hyperlink w:anchor="tbl-panel">
        <w:r>
          <w:rPr>
            <w:rStyle w:val="Hyperlink"/>
          </w:rPr>
          <w:t xml:space="preserve">Table 2</w:t>
        </w:r>
      </w:hyperlink>
      <w:r>
        <w:t xml:space="preserve"> </w:t>
      </w:r>
      <w:r>
        <w:t xml:space="preserve">and</w:t>
      </w:r>
      <w:r>
        <w:t xml:space="preserve"> </w:t>
      </w:r>
      <w:hyperlink w:anchor="fig-liwc_ind">
        <w:r>
          <w:rPr>
            <w:rStyle w:val="Hyperlink"/>
          </w:rPr>
          <w:t xml:space="preserve">Figure 8</w:t>
        </w:r>
      </w:hyperlink>
      <w:r>
        <w:t xml:space="preserve">), the median of all median LIWC feature scores excluding the six unnormalized categories within each 3-day prediction window ranged from 0.00 to 2.45 (median = 0.00, sd = 0.34). The median of all median LIWC feature scores excluding the six unnormalized categories within each 1-week prediction window ranged from 0.00 to 2.45 (median = 0.00, sd = 0.35). The max of all median LIWC feature scores excluding the six unnormalized categories within each 3-day prediction window ranged from 0.00 to 11.58 (median = 0.80, sd = 1.60). The max of all median LIWC feature scores excluding the six unnormalized categories within each 1-week prediction window ranged from 0.00 to 8.89 (median = 0.63, sd = 1.25).</w:t>
      </w:r>
    </w:p>
    <w:p>
      <w:pPr>
        <w:pStyle w:val="BodyText"/>
      </w:pPr>
      <w:r>
        <w:t xml:space="preserve">The median of all 95% percentile LIWC feature scores excluding the six unnormalized categories within each 3-day prediction window ranged from 0.00 to 4.74 (median = 0.30, sd = 0.70). The median of all 95% percentile LIWC feature scores excluding the six unnormalized categories within each 1-week prediction window ranged from 0.00 to 4.89 (median = 0.34, sd = 0.72). The max of all 95% percentile LIWC feature scores excluding the six unnormalized categories within each 3-day prediction window ranged from 0.36 to 17.51 (median = 1.15, sd = 2.40). The max of all 95% percentile LIWC feature scores excluding the six unnormalized categories within each 1-week prediction window ranged from 0.35 to 18.42 (median = 1.00, sd = 2.47).</w:t>
      </w:r>
    </w:p>
    <w:bookmarkStart w:id="83" w:name="tbl-panel"/>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1" w:name="tbl-ind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5.43</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142.00</w:t>
                        </w:r>
                      </w:p>
                    </w:tc>
                  </w:tr>
                  <w:tr>
                    <w:tc>
                      <w:tcPr/>
                      <w:p>
                        <w:pPr>
                          <w:pStyle w:val="Compact"/>
                          <w:jc w:val="left"/>
                          <w:jc w:val="center"/>
                          <w:jc w:val="left"/>
                        </w:pPr>
                        <w:r>
                          <w:t xml:space="preserve">wc_q_95</w:t>
                        </w:r>
                      </w:p>
                    </w:tc>
                    <w:tc>
                      <w:tcPr/>
                      <w:p>
                        <w:pPr>
                          <w:pStyle w:val="Compact"/>
                          <w:jc w:val="left"/>
                          <w:jc w:val="center"/>
                          <w:jc w:val="left"/>
                        </w:pPr>
                        <w:r>
                          <w:t xml:space="preserve">20.31</w:t>
                        </w:r>
                      </w:p>
                    </w:tc>
                    <w:tc>
                      <w:tcPr/>
                      <w:p>
                        <w:pPr>
                          <w:pStyle w:val="Compact"/>
                          <w:jc w:val="left"/>
                          <w:jc w:val="center"/>
                          <w:jc w:val="left"/>
                        </w:pPr>
                        <w:r>
                          <w:t xml:space="preserve">26.40</w:t>
                        </w:r>
                      </w:p>
                    </w:tc>
                    <w:tc>
                      <w:tcPr/>
                      <w:p>
                        <w:pPr>
                          <w:pStyle w:val="Compact"/>
                          <w:jc w:val="left"/>
                          <w:jc w:val="center"/>
                          <w:jc w:val="left"/>
                        </w:pPr>
                        <w:r>
                          <w:t xml:space="preserve">1.00</w:t>
                        </w:r>
                      </w:p>
                    </w:tc>
                    <w:tc>
                      <w:tcPr/>
                      <w:p>
                        <w:pPr>
                          <w:pStyle w:val="Compact"/>
                          <w:jc w:val="left"/>
                          <w:jc w:val="center"/>
                          <w:jc w:val="left"/>
                        </w:pPr>
                        <w:r>
                          <w:t xml:space="preserve">369.05</w:t>
                        </w:r>
                      </w:p>
                    </w:tc>
                  </w:tr>
                  <w:tr>
                    <w:tc>
                      <w:tcPr/>
                      <w:p>
                        <w:pPr>
                          <w:pStyle w:val="Compact"/>
                          <w:jc w:val="left"/>
                          <w:jc w:val="center"/>
                          <w:jc w:val="left"/>
                        </w:pPr>
                        <w:r>
                          <w:t xml:space="preserve">wps_median</w:t>
                        </w:r>
                      </w:p>
                    </w:tc>
                    <w:tc>
                      <w:tcPr/>
                      <w:p>
                        <w:pPr>
                          <w:pStyle w:val="Compact"/>
                          <w:jc w:val="left"/>
                          <w:jc w:val="center"/>
                          <w:jc w:val="left"/>
                        </w:pPr>
                        <w:r>
                          <w:t xml:space="preserve">2.45</w:t>
                        </w:r>
                      </w:p>
                    </w:tc>
                    <w:tc>
                      <w:tcPr/>
                      <w:p>
                        <w:pPr>
                          <w:pStyle w:val="Compact"/>
                          <w:jc w:val="left"/>
                          <w:jc w:val="center"/>
                          <w:jc w:val="left"/>
                        </w:pPr>
                        <w:r>
                          <w:t xml:space="preserve">5.00</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5.96</w:t>
                        </w:r>
                      </w:p>
                    </w:tc>
                    <w:tc>
                      <w:tcPr/>
                      <w:p>
                        <w:pPr>
                          <w:pStyle w:val="Compact"/>
                          <w:jc w:val="left"/>
                          <w:jc w:val="center"/>
                          <w:jc w:val="left"/>
                        </w:pPr>
                        <w:r>
                          <w:t xml:space="preserve">14.75</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17.11</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19.24</w:t>
                        </w:r>
                      </w:p>
                    </w:tc>
                    <w:tc>
                      <w:tcPr/>
                      <w:p>
                        <w:pPr>
                          <w:pStyle w:val="Compact"/>
                          <w:jc w:val="left"/>
                          <w:jc w:val="center"/>
                          <w:jc w:val="left"/>
                        </w:pPr>
                        <w:r>
                          <w:t xml:space="preserve">97.20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32.72</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12.98</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19.60</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10.77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17.84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9.85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(a) 3-Day Prediction Window</w:t>
                  </w:r>
                </w:p>
                <w:bookmarkEnd w:id="8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2" w:name="tbl-ind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4.00</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81.00</w:t>
                        </w:r>
                      </w:p>
                    </w:tc>
                  </w:tr>
                  <w:tr>
                    <w:tc>
                      <w:tcPr/>
                      <w:p>
                        <w:pPr>
                          <w:pStyle w:val="Compact"/>
                          <w:jc w:val="left"/>
                          <w:jc w:val="center"/>
                          <w:jc w:val="left"/>
                        </w:pPr>
                        <w:r>
                          <w:t xml:space="preserve">wc_q_95</w:t>
                        </w:r>
                      </w:p>
                    </w:tc>
                    <w:tc>
                      <w:tcPr/>
                      <w:p>
                        <w:pPr>
                          <w:pStyle w:val="Compact"/>
                          <w:jc w:val="left"/>
                          <w:jc w:val="center"/>
                          <w:jc w:val="left"/>
                        </w:pPr>
                        <w:r>
                          <w:t xml:space="preserve">17.84</w:t>
                        </w:r>
                      </w:p>
                    </w:tc>
                    <w:tc>
                      <w:tcPr/>
                      <w:p>
                        <w:pPr>
                          <w:pStyle w:val="Compact"/>
                          <w:jc w:val="left"/>
                          <w:jc w:val="center"/>
                          <w:jc w:val="left"/>
                        </w:pPr>
                        <w:r>
                          <w:t xml:space="preserve">28.00</w:t>
                        </w:r>
                      </w:p>
                    </w:tc>
                    <w:tc>
                      <w:tcPr/>
                      <w:p>
                        <w:pPr>
                          <w:pStyle w:val="Compact"/>
                          <w:jc w:val="left"/>
                          <w:jc w:val="center"/>
                          <w:jc w:val="left"/>
                        </w:pPr>
                        <w:r>
                          <w:t xml:space="preserve">1.00</w:t>
                        </w:r>
                      </w:p>
                    </w:tc>
                    <w:tc>
                      <w:tcPr/>
                      <w:p>
                        <w:pPr>
                          <w:pStyle w:val="Compact"/>
                          <w:jc w:val="left"/>
                          <w:jc w:val="center"/>
                          <w:jc w:val="left"/>
                        </w:pPr>
                        <w:r>
                          <w:t xml:space="preserve">404.00</w:t>
                        </w:r>
                      </w:p>
                    </w:tc>
                  </w:tr>
                  <w:tr>
                    <w:tc>
                      <w:tcPr/>
                      <w:p>
                        <w:pPr>
                          <w:pStyle w:val="Compact"/>
                          <w:jc w:val="left"/>
                          <w:jc w:val="center"/>
                          <w:jc w:val="left"/>
                        </w:pPr>
                        <w:r>
                          <w:t xml:space="preserve">wps_median</w:t>
                        </w:r>
                      </w:p>
                    </w:tc>
                    <w:tc>
                      <w:tcPr/>
                      <w:p>
                        <w:pPr>
                          <w:pStyle w:val="Compact"/>
                          <w:jc w:val="left"/>
                          <w:jc w:val="center"/>
                          <w:jc w:val="left"/>
                        </w:pPr>
                        <w:r>
                          <w:t xml:space="preserve">2.20</w:t>
                        </w:r>
                      </w:p>
                    </w:tc>
                    <w:tc>
                      <w:tcPr/>
                      <w:p>
                        <w:pPr>
                          <w:pStyle w:val="Compact"/>
                          <w:jc w:val="left"/>
                          <w:jc w:val="center"/>
                          <w:jc w:val="left"/>
                        </w:pPr>
                        <w:r>
                          <w:t xml:space="preserve">5.00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5.53</w:t>
                        </w:r>
                      </w:p>
                    </w:tc>
                    <w:tc>
                      <w:tcPr/>
                      <w:p>
                        <w:pPr>
                          <w:pStyle w:val="Compact"/>
                          <w:jc w:val="left"/>
                          <w:jc w:val="center"/>
                          <w:jc w:val="left"/>
                        </w:pPr>
                        <w:r>
                          <w:t xml:space="preserve">15.10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14.02</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14.85</w:t>
                        </w:r>
                      </w:p>
                    </w:tc>
                    <w:tc>
                      <w:tcPr/>
                      <w:p>
                        <w:pPr>
                          <w:pStyle w:val="Compact"/>
                          <w:jc w:val="left"/>
                          <w:jc w:val="center"/>
                          <w:jc w:val="left"/>
                        </w:pPr>
                        <w:r>
                          <w:t xml:space="preserve">98.59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30.57</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9.94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15.87</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7.36</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13.85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7.27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(b) 1-Week Prediction Window</w:t>
                  </w:r>
                </w:p>
                <w:bookmarkEnd w:id="82"/>
              </w:tc>
            </w:tr>
          </w:tbl>
          <w:p/>
        </w:tc>
      </w:tr>
    </w:tbl>
    <w:p>
      <w:pPr>
        <w:pStyle w:val="BodyText"/>
      </w:pPr>
      <w:pPr>
        <w:spacing w:before="200"/>
        <w:pStyle w:val="ImageCaption"/>
      </w:pPr>
      <w:r>
        <w:t xml:space="preserve">Table 2: Sample Characteristics of Engineered Feature Scores (Median and 95% Quantile Scores from Individual Messages) for the Six Unnormalized Categories Within Each Prediction Window</w:t>
      </w:r>
    </w:p>
    <w:bookmarkEnd w:id="83"/>
    <w:tbl>
      <w:tblPr>
        <w:tblStyle w:val="Table"/>
        <w:tblW w:type="pct" w:w="5000"/>
        <w:tblLayout w:type="fixed"/>
        <w:tblLook w:firstRow="0" w:lastRow="0" w:firstColumn="0" w:lastColumn="0" w:noHBand="0" w:noVBand="0" w:val="0000"/>
      </w:tblPr>
      <w:tblGrid>
        <w:gridCol w:w="7920"/>
      </w:tblGrid>
      <w:tr>
        <w:tc>
          <w:tcPr/>
          <w:bookmarkStart w:id="87" w:name="fig-liwc_ind"/>
          <w:p>
            <w:pPr>
              <w:pStyle w:val="Compact"/>
              <w:jc w:val="center"/>
            </w:pPr>
            <w:r>
              <w:drawing>
                <wp:inline>
                  <wp:extent cx="5334000" cy="3810000"/>
                  <wp:effectExtent b="0" l="0" r="0" t="0"/>
                  <wp:docPr descr="" title="" id="85" name="Picture"/>
                  <a:graphic>
                    <a:graphicData uri="http://schemas.openxmlformats.org/drawingml/2006/picture">
                      <pic:pic>
                        <pic:nvPicPr>
                          <pic:cNvPr descr="index_files/figure-docx/notebooks-eda_liwc-fig-liwc_ind-output-1.png" id="86" name="Picture"/>
                          <pic:cNvPicPr>
                            <a:picLocks noChangeArrowheads="1" noChangeAspect="1"/>
                          </pic:cNvPicPr>
                        </pic:nvPicPr>
                        <pic:blipFill>
                          <a:blip r:embed="rId8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Distribution of Engineered Feature Scores (Median or 95% Percentile of Normalized LIWC Score From Individual Messages) Within Each Prediction Window</w:t>
            </w:r>
          </w:p>
          <w:bookmarkEnd w:id="87"/>
        </w:tc>
      </w:tr>
    </w:tbl>
    <w:p>
      <w:pPr>
        <w:pStyle w:val="BodyText"/>
      </w:pPr>
      <w:r>
        <w:rPr>
          <w:vertAlign w:val="subscript"/>
        </w:rPr>
        <w:t xml:space="preserve">Source:</w:t>
      </w:r>
      <w:r>
        <w:rPr>
          <w:vertAlign w:val="subscript"/>
        </w:rPr>
        <w:t xml:space="preserve"> </w:t>
      </w:r>
      <w:hyperlink r:id="rId88">
        <w:r>
          <w:rPr>
            <w:rStyle w:val="Hyperlink"/>
            <w:vertAlign w:val="subscript"/>
          </w:rPr>
          <w:t xml:space="preserve">EDA on LIWC Features</w:t>
        </w:r>
      </w:hyperlink>
    </w:p>
    <w:p>
      <w:pPr>
        <w:pStyle w:val="BodyText"/>
      </w:pPr>
      <w:r>
        <w:t xml:space="preserve">When our unit of analysis was on concatenated messages (see</w:t>
      </w:r>
      <w:r>
        <w:t xml:space="preserve"> </w:t>
      </w:r>
      <w:hyperlink w:anchor="tbl-panel2">
        <w:r>
          <w:rPr>
            <w:rStyle w:val="Hyperlink"/>
          </w:rPr>
          <w:t xml:space="preserve">Table 3</w:t>
        </w:r>
      </w:hyperlink>
      <w:r>
        <w:t xml:space="preserve">,</w:t>
      </w:r>
      <w:r>
        <w:t xml:space="preserve"> </w:t>
      </w:r>
      <w:hyperlink w:anchor="fig-liwc_cat_raw">
        <w:r>
          <w:rPr>
            <w:rStyle w:val="Hyperlink"/>
          </w:rPr>
          <w:t xml:space="preserve">Figure 9</w:t>
        </w:r>
      </w:hyperlink>
      <w:r>
        <w:t xml:space="preserve"> </w:t>
      </w:r>
      <w:r>
        <w:t xml:space="preserve">and</w:t>
      </w:r>
      <w:r>
        <w:t xml:space="preserve"> </w:t>
      </w:r>
      <w:hyperlink w:anchor="fig-liwc_cat_norm">
        <w:r>
          <w:rPr>
            <w:rStyle w:val="Hyperlink"/>
          </w:rPr>
          <w:t xml:space="preserve">Figure 10</w:t>
        </w:r>
      </w:hyperlink>
      <w:r>
        <w:t xml:space="preserve">), the median of all raw feature scores within the 3-day prediction window ranged from 0.00 to 91.36 (median = 1.32, sd = 12.64). The median of all raw feature scores within the 1-week prediction window ranged from 0.00 to 91.30 (median = 1.36, sd = 12.63). The max of all raw feature scores within the 3-day prediction window ranged from 3.85 to 166.67 (median = 33.33, sd = 37.64). The max of all raw feature scores within the 1-week prediction window ranged from 1.82 to 166.67 (median = 27.27, sd = 35.21).</w:t>
      </w:r>
    </w:p>
    <w:p>
      <w:pPr>
        <w:pStyle w:val="BodyText"/>
      </w:pPr>
      <w:r>
        <w:t xml:space="preserve">The median of all normalized feature scores within the 3-day prediction window ranged from 0.00 to 20.63 (median = 0.32, sd = 2.85). The median of all normalized feature scores within the 1-week prediction window ranged from 0.00 to 30.69 (median = 0.47, sd = 4.25). The max of all normalized feature scores within the 3-day prediction window ranged from 0.37 to 106.55 (median = 2.95, sd = 15.11). The max of all normalized feature scores within the 1-week prediction window ranged from 0.29 to 143.30 (median = 3.16, sd = 20.31).</w:t>
      </w:r>
    </w:p>
    <w:bookmarkStart w:id="91" w:name="tbl-panel2"/>
    <w:tbl>
      <w:tblPr>
        <w:tblStyle w:val="Table"/>
        <w:tblW w:type="pct" w:w="4900"/>
        <w:tblLayout w:type="fixed"/>
        <w:tblLook w:firstRow="0" w:lastRow="0" w:firstColumn="0" w:lastColumn="0" w:noHBand="0" w:noVBand="0" w:val="0000"/>
      </w:tblPr>
      <w:tblGrid>
        <w:gridCol w:w="3880"/>
        <w:gridCol w:w="3880"/>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9" w:name="tbl-cat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1175.22</w:t>
                        </w:r>
                      </w:p>
                    </w:tc>
                    <w:tc>
                      <w:tcPr/>
                      <w:p>
                        <w:pPr>
                          <w:pStyle w:val="Compact"/>
                          <w:jc w:val="left"/>
                          <w:jc w:val="center"/>
                          <w:jc w:val="left"/>
                        </w:pPr>
                        <w:r>
                          <w:t xml:space="preserve">512.00</w:t>
                        </w:r>
                      </w:p>
                    </w:tc>
                    <w:tc>
                      <w:tcPr/>
                      <w:p>
                        <w:pPr>
                          <w:pStyle w:val="Compact"/>
                          <w:jc w:val="left"/>
                          <w:jc w:val="center"/>
                          <w:jc w:val="left"/>
                        </w:pPr>
                        <w:r>
                          <w:t xml:space="preserve">1</w:t>
                        </w:r>
                      </w:p>
                    </w:tc>
                    <w:tc>
                      <w:tcPr/>
                      <w:p>
                        <w:pPr>
                          <w:pStyle w:val="Compact"/>
                          <w:jc w:val="left"/>
                          <w:jc w:val="center"/>
                          <w:jc w:val="left"/>
                        </w:pPr>
                        <w:r>
                          <w:t xml:space="preserve">13211</w:t>
                        </w:r>
                      </w:p>
                    </w:tc>
                  </w:tr>
                  <w:tr>
                    <w:tc>
                      <w:tcPr/>
                      <w:p>
                        <w:pPr>
                          <w:pStyle w:val="Compact"/>
                          <w:jc w:val="left"/>
                          <w:jc w:val="center"/>
                          <w:jc w:val="left"/>
                        </w:pPr>
                        <w:r>
                          <w:t xml:space="preserve">wps</w:t>
                        </w:r>
                      </w:p>
                    </w:tc>
                    <w:tc>
                      <w:tcPr/>
                      <w:p>
                        <w:pPr>
                          <w:pStyle w:val="Compact"/>
                          <w:jc w:val="left"/>
                          <w:jc w:val="center"/>
                          <w:jc w:val="left"/>
                        </w:pPr>
                        <w:r>
                          <w:t xml:space="preserve">9.75</w:t>
                        </w:r>
                      </w:p>
                    </w:tc>
                    <w:tc>
                      <w:tcPr/>
                      <w:p>
                        <w:pPr>
                          <w:pStyle w:val="Compact"/>
                          <w:jc w:val="left"/>
                          <w:jc w:val="center"/>
                          <w:jc w:val="left"/>
                        </w:pPr>
                        <w:r>
                          <w:t xml:space="preserve">10.76</w:t>
                        </w:r>
                      </w:p>
                    </w:tc>
                    <w:tc>
                      <w:tcPr/>
                      <w:p>
                        <w:pPr>
                          <w:pStyle w:val="Compact"/>
                          <w:jc w:val="left"/>
                          <w:jc w:val="center"/>
                          <w:jc w:val="left"/>
                        </w:pPr>
                        <w:r>
                          <w:t xml:space="preserve">0</w:t>
                        </w:r>
                      </w:p>
                    </w:tc>
                    <w:tc>
                      <w:tcPr/>
                      <w:p>
                        <w:pPr>
                          <w:pStyle w:val="Compact"/>
                          <w:jc w:val="left"/>
                          <w:jc w:val="center"/>
                          <w:jc w:val="left"/>
                        </w:pPr>
                        <w:r>
                          <w:t xml:space="preserve">295</w:t>
                        </w:r>
                      </w:p>
                    </w:tc>
                  </w:tr>
                  <w:tr>
                    <w:tc>
                      <w:tcPr/>
                      <w:p>
                        <w:pPr>
                          <w:pStyle w:val="Compact"/>
                          <w:jc w:val="left"/>
                          <w:jc w:val="center"/>
                          <w:jc w:val="left"/>
                        </w:pPr>
                        <w:r>
                          <w:t xml:space="preserve">analytic</w:t>
                        </w:r>
                      </w:p>
                    </w:tc>
                    <w:tc>
                      <w:tcPr/>
                      <w:p>
                        <w:pPr>
                          <w:pStyle w:val="Compact"/>
                          <w:jc w:val="left"/>
                          <w:jc w:val="center"/>
                          <w:jc w:val="left"/>
                        </w:pPr>
                        <w:r>
                          <w:t xml:space="preserve">16.96</w:t>
                        </w:r>
                      </w:p>
                    </w:tc>
                    <w:tc>
                      <w:tcPr/>
                      <w:p>
                        <w:pPr>
                          <w:pStyle w:val="Compact"/>
                          <w:jc w:val="left"/>
                          <w:jc w:val="center"/>
                          <w:jc w:val="left"/>
                        </w:pPr>
                        <w:r>
                          <w:t xml:space="preserve">19.05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25.37</w:t>
                        </w:r>
                      </w:p>
                    </w:tc>
                    <w:tc>
                      <w:tcPr/>
                      <w:p>
                        <w:pPr>
                          <w:pStyle w:val="Compact"/>
                          <w:jc w:val="left"/>
                          <w:jc w:val="center"/>
                          <w:jc w:val="left"/>
                        </w:pPr>
                        <w:r>
                          <w:t xml:space="preserve">50.20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22.34</w:t>
                        </w:r>
                      </w:p>
                    </w:tc>
                    <w:tc>
                      <w:tcPr/>
                      <w:p>
                        <w:pPr>
                          <w:pStyle w:val="Compact"/>
                          <w:jc w:val="left"/>
                          <w:jc w:val="center"/>
                          <w:jc w:val="left"/>
                        </w:pPr>
                        <w:r>
                          <w:t xml:space="preserve">77.13</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23.28</w:t>
                        </w:r>
                      </w:p>
                    </w:tc>
                    <w:tc>
                      <w:tcPr/>
                      <w:p>
                        <w:pPr>
                          <w:pStyle w:val="Compact"/>
                          <w:jc w:val="left"/>
                          <w:jc w:val="center"/>
                          <w:jc w:val="left"/>
                        </w:pPr>
                        <w:r>
                          <w:t xml:space="preserve">82.19</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(a) 3-Day Prediction Window</w:t>
                  </w:r>
                </w:p>
                <w:bookmarkEnd w:id="89"/>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90" w:name="tbl-cat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2484.84</w:t>
                        </w:r>
                      </w:p>
                    </w:tc>
                    <w:tc>
                      <w:tcPr/>
                      <w:p>
                        <w:pPr>
                          <w:pStyle w:val="Compact"/>
                          <w:jc w:val="left"/>
                          <w:jc w:val="center"/>
                          <w:jc w:val="left"/>
                        </w:pPr>
                        <w:r>
                          <w:t xml:space="preserve">1124.00</w:t>
                        </w:r>
                      </w:p>
                    </w:tc>
                    <w:tc>
                      <w:tcPr/>
                      <w:p>
                        <w:pPr>
                          <w:pStyle w:val="Compact"/>
                          <w:jc w:val="left"/>
                          <w:jc w:val="center"/>
                          <w:jc w:val="left"/>
                        </w:pPr>
                        <w:r>
                          <w:t xml:space="preserve">1</w:t>
                        </w:r>
                      </w:p>
                    </w:tc>
                    <w:tc>
                      <w:tcPr/>
                      <w:p>
                        <w:pPr>
                          <w:pStyle w:val="Compact"/>
                          <w:jc w:val="left"/>
                          <w:jc w:val="center"/>
                          <w:jc w:val="left"/>
                        </w:pPr>
                        <w:r>
                          <w:t xml:space="preserve">23702</w:t>
                        </w:r>
                      </w:p>
                    </w:tc>
                  </w:tr>
                  <w:tr>
                    <w:tc>
                      <w:tcPr/>
                      <w:p>
                        <w:pPr>
                          <w:pStyle w:val="Compact"/>
                          <w:jc w:val="left"/>
                          <w:jc w:val="center"/>
                          <w:jc w:val="left"/>
                        </w:pPr>
                        <w:r>
                          <w:t xml:space="preserve">wps</w:t>
                        </w:r>
                      </w:p>
                    </w:tc>
                    <w:tc>
                      <w:tcPr/>
                      <w:p>
                        <w:pPr>
                          <w:pStyle w:val="Compact"/>
                          <w:jc w:val="left"/>
                          <w:jc w:val="center"/>
                          <w:jc w:val="left"/>
                        </w:pPr>
                        <w:r>
                          <w:t xml:space="preserve">8.73</w:t>
                        </w:r>
                      </w:p>
                    </w:tc>
                    <w:tc>
                      <w:tcPr/>
                      <w:p>
                        <w:pPr>
                          <w:pStyle w:val="Compact"/>
                          <w:jc w:val="left"/>
                          <w:jc w:val="center"/>
                          <w:jc w:val="left"/>
                        </w:pPr>
                        <w:r>
                          <w:t xml:space="preserve">10.91</w:t>
                        </w:r>
                      </w:p>
                    </w:tc>
                    <w:tc>
                      <w:tcPr/>
                      <w:p>
                        <w:pPr>
                          <w:pStyle w:val="Compact"/>
                          <w:jc w:val="left"/>
                          <w:jc w:val="center"/>
                          <w:jc w:val="left"/>
                        </w:pPr>
                        <w:r>
                          <w:t xml:space="preserve">1</w:t>
                        </w:r>
                      </w:p>
                    </w:tc>
                    <w:tc>
                      <w:tcPr/>
                      <w:p>
                        <w:pPr>
                          <w:pStyle w:val="Compact"/>
                          <w:jc w:val="left"/>
                          <w:jc w:val="center"/>
                          <w:jc w:val="left"/>
                        </w:pPr>
                        <w:r>
                          <w:t xml:space="preserve">241</w:t>
                        </w:r>
                      </w:p>
                    </w:tc>
                  </w:tr>
                  <w:tr>
                    <w:tc>
                      <w:tcPr/>
                      <w:p>
                        <w:pPr>
                          <w:pStyle w:val="Compact"/>
                          <w:jc w:val="left"/>
                          <w:jc w:val="center"/>
                          <w:jc w:val="left"/>
                        </w:pPr>
                        <w:r>
                          <w:t xml:space="preserve">analytic</w:t>
                        </w:r>
                      </w:p>
                    </w:tc>
                    <w:tc>
                      <w:tcPr/>
                      <w:p>
                        <w:pPr>
                          <w:pStyle w:val="Compact"/>
                          <w:jc w:val="left"/>
                          <w:jc w:val="center"/>
                          <w:jc w:val="left"/>
                        </w:pPr>
                        <w:r>
                          <w:t xml:space="preserve">14.30</w:t>
                        </w:r>
                      </w:p>
                    </w:tc>
                    <w:tc>
                      <w:tcPr/>
                      <w:p>
                        <w:pPr>
                          <w:pStyle w:val="Compact"/>
                          <w:jc w:val="left"/>
                          <w:jc w:val="center"/>
                          <w:jc w:val="left"/>
                        </w:pPr>
                        <w:r>
                          <w:t xml:space="preserve">19.17</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22.54</w:t>
                        </w:r>
                      </w:p>
                    </w:tc>
                    <w:tc>
                      <w:tcPr/>
                      <w:p>
                        <w:pPr>
                          <w:pStyle w:val="Compact"/>
                          <w:jc w:val="left"/>
                          <w:jc w:val="center"/>
                          <w:jc w:val="left"/>
                        </w:pPr>
                        <w:r>
                          <w:t xml:space="preserve">50.15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19.04</w:t>
                        </w:r>
                      </w:p>
                    </w:tc>
                    <w:tc>
                      <w:tcPr/>
                      <w:p>
                        <w:pPr>
                          <w:pStyle w:val="Compact"/>
                          <w:jc w:val="left"/>
                          <w:jc w:val="center"/>
                          <w:jc w:val="left"/>
                        </w:pPr>
                        <w:r>
                          <w:t xml:space="preserve">77.10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20.76</w:t>
                        </w:r>
                      </w:p>
                    </w:tc>
                    <w:tc>
                      <w:tcPr/>
                      <w:p>
                        <w:pPr>
                          <w:pStyle w:val="Compact"/>
                          <w:jc w:val="left"/>
                          <w:jc w:val="center"/>
                          <w:jc w:val="left"/>
                        </w:pPr>
                        <w:r>
                          <w:t xml:space="preserve">82.04</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(b) 1-Week Prediction Window</w:t>
                  </w:r>
                </w:p>
                <w:bookmarkEnd w:id="90"/>
              </w:tc>
            </w:tr>
          </w:tbl>
          <w:p/>
        </w:tc>
      </w:tr>
    </w:tbl>
    <w:p>
      <w:pPr>
        <w:pStyle w:val="BodyText"/>
      </w:pPr>
      <w:pPr>
        <w:spacing w:before="200"/>
        <w:pStyle w:val="ImageCaption"/>
      </w:pPr>
      <w:r>
        <w:t xml:space="preserve">Table 3: Sample Characteristics of Raw LIWC Scores on Concatenated Messages Across the Six Linguistic Categories Within Each Prediction Window</w:t>
      </w:r>
    </w:p>
    <w:bookmarkEnd w:id="91"/>
    <w:tbl>
      <w:tblPr>
        <w:tblStyle w:val="Table"/>
        <w:tblW w:type="pct" w:w="5000"/>
        <w:tblLayout w:type="fixed"/>
        <w:tblLook w:firstRow="0" w:lastRow="0" w:firstColumn="0" w:lastColumn="0" w:noHBand="0" w:noVBand="0" w:val="0000"/>
      </w:tblPr>
      <w:tblGrid>
        <w:gridCol w:w="7920"/>
      </w:tblGrid>
      <w:tr>
        <w:tc>
          <w:tcPr/>
          <w:bookmarkStart w:id="95" w:name="fig-liwc_cat_raw"/>
          <w:p>
            <w:pPr>
              <w:pStyle w:val="Compact"/>
              <w:jc w:val="center"/>
            </w:pPr>
            <w:r>
              <w:drawing>
                <wp:inline>
                  <wp:extent cx="5334000" cy="3810000"/>
                  <wp:effectExtent b="0" l="0" r="0" t="0"/>
                  <wp:docPr descr="" title="" id="93" name="Picture"/>
                  <a:graphic>
                    <a:graphicData uri="http://schemas.openxmlformats.org/drawingml/2006/picture">
                      <pic:pic>
                        <pic:nvPicPr>
                          <pic:cNvPr descr="index_files/figure-docx/notebooks-eda_liwc-fig-liwc_cat_raw-output-1.png" id="94" name="Picture"/>
                          <pic:cNvPicPr>
                            <a:picLocks noChangeArrowheads="1" noChangeAspect="1"/>
                          </pic:cNvPicPr>
                        </pic:nvPicPr>
                        <pic:blipFill>
                          <a:blip r:embed="rId9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Distribution of Raw LIWC Feature Scores From Concatenated Messages Within Each Prediction Window</w:t>
            </w:r>
          </w:p>
          <w:bookmarkEnd w:id="95"/>
        </w:tc>
      </w:tr>
    </w:tbl>
    <w:p>
      <w:pPr>
        <w:pStyle w:val="BodyText"/>
      </w:pPr>
      <w:r>
        <w:rPr>
          <w:vertAlign w:val="subscript"/>
        </w:rPr>
        <w:t xml:space="preserve">Source:</w:t>
      </w:r>
      <w:r>
        <w:rPr>
          <w:vertAlign w:val="subscript"/>
        </w:rPr>
        <w:t xml:space="preserve"> </w:t>
      </w:r>
      <w:hyperlink r:id="rId96">
        <w:r>
          <w:rPr>
            <w:rStyle w:val="Hyperlink"/>
            <w:vertAlign w:val="subscript"/>
          </w:rPr>
          <w:t xml:space="preserve">EDA on LIWC Features</w:t>
        </w:r>
      </w:hyperlink>
    </w:p>
    <w:tbl>
      <w:tblPr>
        <w:tblStyle w:val="Table"/>
        <w:tblW w:type="pct" w:w="5000"/>
        <w:tblLayout w:type="fixed"/>
        <w:tblLook w:firstRow="0" w:lastRow="0" w:firstColumn="0" w:lastColumn="0" w:noHBand="0" w:noVBand="0" w:val="0000"/>
      </w:tblPr>
      <w:tblGrid>
        <w:gridCol w:w="7920"/>
      </w:tblGrid>
      <w:tr>
        <w:tc>
          <w:tcPr/>
          <w:bookmarkStart w:id="100" w:name="fig-liwc_cat_norm"/>
          <w:p>
            <w:pPr>
              <w:pStyle w:val="Compact"/>
              <w:jc w:val="center"/>
            </w:pPr>
            <w:r>
              <w:drawing>
                <wp:inline>
                  <wp:extent cx="5334000" cy="3810000"/>
                  <wp:effectExtent b="0" l="0" r="0" t="0"/>
                  <wp:docPr descr="" title="" id="98" name="Picture"/>
                  <a:graphic>
                    <a:graphicData uri="http://schemas.openxmlformats.org/drawingml/2006/picture">
                      <pic:pic>
                        <pic:nvPicPr>
                          <pic:cNvPr descr="index_files/figure-docx/notebooks-eda_liwc-fig-liwc_cat_norm-output-1.png" id="99" name="Picture"/>
                          <pic:cNvPicPr>
                            <a:picLocks noChangeArrowheads="1" noChangeAspect="1"/>
                          </pic:cNvPicPr>
                        </pic:nvPicPr>
                        <pic:blipFill>
                          <a:blip r:embed="rId9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Distribution of Normalized LIWC Feature Scores From Concatenated Messages Within Each Prediction Window</w:t>
            </w:r>
          </w:p>
          <w:bookmarkEnd w:id="100"/>
        </w:tc>
      </w:tr>
    </w:tbl>
    <w:p>
      <w:pPr>
        <w:pStyle w:val="BodyText"/>
      </w:pPr>
      <w:r>
        <w:rPr>
          <w:vertAlign w:val="subscript"/>
        </w:rPr>
        <w:t xml:space="preserve">Source:</w:t>
      </w:r>
      <w:r>
        <w:rPr>
          <w:vertAlign w:val="subscript"/>
        </w:rPr>
        <w:t xml:space="preserve"> </w:t>
      </w:r>
      <w:hyperlink r:id="rId101">
        <w:r>
          <w:rPr>
            <w:rStyle w:val="Hyperlink"/>
            <w:vertAlign w:val="subscript"/>
          </w:rPr>
          <w:t xml:space="preserve">EDA on LIWC Features</w:t>
        </w:r>
      </w:hyperlink>
    </w:p>
    <w:bookmarkEnd w:id="102"/>
    <w:bookmarkStart w:id="118" w:name="best-model-evaluation"/>
    <w:p>
      <w:pPr>
        <w:pStyle w:val="Heading2"/>
      </w:pPr>
      <w:r>
        <w:t xml:space="preserve">Best Model Evaluation</w:t>
      </w:r>
    </w:p>
    <w:p>
      <w:pPr>
        <w:pStyle w:val="FirstParagraph"/>
      </w:pPr>
      <w:r>
        <w:t xml:space="preserve">The best model configuration was the one that leveraged raw LWIC scores from concatenated messages within both the 3-day and 1-week prediction window, and an upsampling technique with a ratio of 1:1. We applied the best configuration on the raw dataset and obtained an auROC score of 0.53 (see</w:t>
      </w:r>
      <w:r>
        <w:t xml:space="preserve"> </w:t>
      </w:r>
      <w:hyperlink w:anchor="fig-auroc">
        <w:r>
          <w:rPr>
            <w:rStyle w:val="Hyperlink"/>
          </w:rPr>
          <w:t xml:space="preserve">Figure 11</w:t>
        </w:r>
      </w:hyperlink>
      <w:r>
        <w:t xml:space="preserve"> </w:t>
      </w:r>
      <w:r>
        <w:t xml:space="preserve">for the ROC curve). We further aggregated predictions by folds, and the median score of all median auROCs across the 300 inner folds was 0.53 (sd = 0.09, range = 0.28 - 0.80; see</w:t>
      </w:r>
      <w:r>
        <w:t xml:space="preserve"> </w:t>
      </w:r>
      <w:hyperlink w:anchor="fig-auroc_hist">
        <w:r>
          <w:rPr>
            <w:rStyle w:val="Hyperlink"/>
          </w:rPr>
          <w:t xml:space="preserve">Figure 12</w:t>
        </w:r>
      </w:hyperlink>
      <w:r>
        <w:t xml:space="preserve">). The median posterior distribution of the auROCs was 0.53 (95% CI = [0.52, 0.54]; see</w:t>
      </w:r>
      <w:r>
        <w:t xml:space="preserve"> </w:t>
      </w:r>
      <w:hyperlink w:anchor="fig-auroc_posterior">
        <w:r>
          <w:rPr>
            <w:rStyle w:val="Hyperlink"/>
          </w:rPr>
          <w:t xml:space="preserve">Figure 13</w:t>
        </w:r>
      </w:hyperlink>
      <w:r>
        <w:t xml:space="preserve">). As the 95% CI did not include .5, we concluded that our model was better than chance performance.</w:t>
      </w:r>
    </w:p>
    <w:tbl>
      <w:tblPr>
        <w:tblStyle w:val="Table"/>
        <w:tblW w:type="pct" w:w="5000"/>
        <w:tblLayout w:type="fixed"/>
        <w:tblLook w:firstRow="0" w:lastRow="0" w:firstColumn="0" w:lastColumn="0" w:noHBand="0" w:noVBand="0" w:val="0000"/>
      </w:tblPr>
      <w:tblGrid>
        <w:gridCol w:w="7920"/>
      </w:tblGrid>
      <w:tr>
        <w:tc>
          <w:tcPr/>
          <w:bookmarkStart w:id="106" w:name="fig-auroc"/>
          <w:p>
            <w:pPr>
              <w:pStyle w:val="Compact"/>
              <w:jc w:val="center"/>
            </w:pPr>
            <w:r>
              <w:drawing>
                <wp:inline>
                  <wp:extent cx="5334000" cy="3810000"/>
                  <wp:effectExtent b="0" l="0" r="0" t="0"/>
                  <wp:docPr descr="" title="" id="104" name="Picture"/>
                  <a:graphic>
                    <a:graphicData uri="http://schemas.openxmlformats.org/drawingml/2006/picture">
                      <pic:pic>
                        <pic:nvPicPr>
                          <pic:cNvPr descr="index_files/figure-docx/notebooks-auROC_plot-fig-auroc-output-2.png" id="105" name="Picture"/>
                          <pic:cNvPicPr>
                            <a:picLocks noChangeArrowheads="1" noChangeAspect="1"/>
                          </pic:cNvPicPr>
                        </pic:nvPicPr>
                        <pic:blipFill>
                          <a:blip r:embed="rId10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ROC Curve for the Best Model Configuration</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Performance plots</w:t>
        </w:r>
      </w:hyperlink>
    </w:p>
    <w:tbl>
      <w:tblPr>
        <w:tblStyle w:val="Table"/>
        <w:tblW w:type="pct" w:w="5000"/>
        <w:tblLayout w:type="fixed"/>
        <w:tblLook w:firstRow="0" w:lastRow="0" w:firstColumn="0" w:lastColumn="0" w:noHBand="0" w:noVBand="0" w:val="0000"/>
      </w:tblPr>
      <w:tblGrid>
        <w:gridCol w:w="7920"/>
      </w:tblGrid>
      <w:tr>
        <w:tc>
          <w:tcPr/>
          <w:bookmarkStart w:id="111" w:name="fig-auroc_hist"/>
          <w:p>
            <w:pPr>
              <w:pStyle w:val="Compact"/>
              <w:jc w:val="center"/>
            </w:pPr>
            <w:r>
              <w:drawing>
                <wp:inline>
                  <wp:extent cx="5334000" cy="3810000"/>
                  <wp:effectExtent b="0" l="0" r="0" t="0"/>
                  <wp:docPr descr="" title="" id="109" name="Picture"/>
                  <a:graphic>
                    <a:graphicData uri="http://schemas.openxmlformats.org/drawingml/2006/picture">
                      <pic:pic>
                        <pic:nvPicPr>
                          <pic:cNvPr descr="index_files/figure-docx/notebooks-auROC_plot-fig-auroc_hist-output-2.png" id="110" name="Picture"/>
                          <pic:cNvPicPr>
                            <a:picLocks noChangeArrowheads="1" noChangeAspect="1"/>
                          </pic:cNvPicPr>
                        </pic:nvPicPr>
                        <pic:blipFill>
                          <a:blip r:embed="rId10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Distribution of auROCs Across 300 Inner Folds</w:t>
            </w:r>
          </w:p>
          <w:bookmarkEnd w:id="111"/>
        </w:tc>
      </w:tr>
    </w:tbl>
    <w:p>
      <w:pPr>
        <w:pStyle w:val="BodyText"/>
      </w:pPr>
      <w:r>
        <w:rPr>
          <w:vertAlign w:val="subscript"/>
        </w:rPr>
        <w:t xml:space="preserve">Source:</w:t>
      </w:r>
      <w:r>
        <w:rPr>
          <w:vertAlign w:val="subscript"/>
        </w:rPr>
        <w:t xml:space="preserve"> </w:t>
      </w:r>
      <w:hyperlink r:id="rId112">
        <w:r>
          <w:rPr>
            <w:rStyle w:val="Hyperlink"/>
            <w:vertAlign w:val="subscript"/>
          </w:rPr>
          <w:t xml:space="preserve">Performance plots</w:t>
        </w:r>
      </w:hyperlink>
    </w:p>
    <w:tbl>
      <w:tblPr>
        <w:tblStyle w:val="Table"/>
        <w:tblW w:type="pct" w:w="5000"/>
        <w:tblLayout w:type="fixed"/>
        <w:tblLook w:firstRow="0" w:lastRow="0" w:firstColumn="0" w:lastColumn="0" w:noHBand="0" w:noVBand="0" w:val="0000"/>
      </w:tblPr>
      <w:tblGrid>
        <w:gridCol w:w="7920"/>
      </w:tblGrid>
      <w:tr>
        <w:tc>
          <w:tcPr/>
          <w:bookmarkStart w:id="116" w:name="fig-auroc_posterior"/>
          <w:p>
            <w:pPr>
              <w:pStyle w:val="Compact"/>
              <w:jc w:val="center"/>
            </w:pPr>
            <w:r>
              <w:drawing>
                <wp:inline>
                  <wp:extent cx="5334000" cy="3810000"/>
                  <wp:effectExtent b="0" l="0" r="0" t="0"/>
                  <wp:docPr descr="" title="" id="114" name="Picture"/>
                  <a:graphic>
                    <a:graphicData uri="http://schemas.openxmlformats.org/drawingml/2006/picture">
                      <pic:pic>
                        <pic:nvPicPr>
                          <pic:cNvPr descr="index_files/figure-docx/notebooks-auROC_plot-fig-auroc_posterior-output-1.png" id="115" name="Picture"/>
                          <pic:cNvPicPr>
                            <a:picLocks noChangeArrowheads="1" noChangeAspect="1"/>
                          </pic:cNvPicPr>
                        </pic:nvPicPr>
                        <pic:blipFill>
                          <a:blip r:embed="rId11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Posterior Distribution of auROC Scores</w:t>
            </w:r>
          </w:p>
          <w:bookmarkEnd w:id="116"/>
        </w:tc>
      </w:tr>
    </w:tbl>
    <w:p>
      <w:pPr>
        <w:pStyle w:val="BodyText"/>
      </w:pPr>
      <w:r>
        <w:rPr>
          <w:vertAlign w:val="subscript"/>
        </w:rPr>
        <w:t xml:space="preserve">Source:</w:t>
      </w:r>
      <w:r>
        <w:rPr>
          <w:vertAlign w:val="subscript"/>
        </w:rPr>
        <w:t xml:space="preserve"> </w:t>
      </w:r>
      <w:hyperlink r:id="rId117">
        <w:r>
          <w:rPr>
            <w:rStyle w:val="Hyperlink"/>
            <w:vertAlign w:val="subscript"/>
          </w:rPr>
          <w:t xml:space="preserve">Performance plots</w:t>
        </w:r>
      </w:hyperlink>
    </w:p>
    <w:bookmarkEnd w:id="118"/>
    <w:bookmarkStart w:id="125" w:name="model-fairness"/>
    <w:p>
      <w:pPr>
        <w:pStyle w:val="Heading2"/>
      </w:pPr>
      <w:r>
        <w:t xml:space="preserve">Model Fairness</w:t>
      </w:r>
    </w:p>
    <w:p>
      <w:pPr>
        <w:pStyle w:val="FirstParagraph"/>
      </w:pPr>
      <w:r>
        <w:t xml:space="preserve">Our model performed consistently worse in unprivileged group vs. privileged group across all four demographic categories (see</w:t>
      </w:r>
      <w:r>
        <w:t xml:space="preserve"> </w:t>
      </w:r>
      <w:hyperlink w:anchor="fig-fairness">
        <w:r>
          <w:rPr>
            <w:rStyle w:val="Hyperlink"/>
          </w:rPr>
          <w:t xml:space="preserve">Figure 14</w:t>
        </w:r>
      </w:hyperlink>
      <w:r>
        <w:t xml:space="preserve"> </w:t>
      </w:r>
      <w:r>
        <w:t xml:space="preserve">and</w:t>
      </w:r>
      <w:r>
        <w:t xml:space="preserve"> </w:t>
      </w:r>
      <w:hyperlink w:anchor="tbl-fairness">
        <w:r>
          <w:rPr>
            <w:rStyle w:val="Hyperlink"/>
          </w:rPr>
          <w:t xml:space="preserve">Table 4</w:t>
        </w:r>
      </w:hyperlink>
      <w:r>
        <w:t xml:space="preserve">). The median of posterior distribution of model performance difference was 0.03 (95%CI = [0.01, 0.06]) for White people compared to People of Color. The posterior distribution of performance differences also indicated that the model performed better in males than in females (median = 0.02, 95%CI = [0.01, 0.04]), in people younger than 55 than people older than 55 (median = 0.04, 95%CI = [0.01, 0.07]), and in people that have higher income than in those who have lower income (median = 0.02, 95%CI = [0.00, 0.04]). All credible intervals did not include 0, indicating that the model significantly worse in unprivileged groups.</w:t>
      </w:r>
    </w:p>
    <w:tbl>
      <w:tblPr>
        <w:tblStyle w:val="Table"/>
        <w:tblW w:type="pct" w:w="5000"/>
        <w:tblLayout w:type="fixed"/>
        <w:tblLook w:firstRow="0" w:lastRow="0" w:firstColumn="0" w:lastColumn="0" w:noHBand="0" w:noVBand="0" w:val="0000"/>
      </w:tblPr>
      <w:tblGrid>
        <w:gridCol w:w="7920"/>
      </w:tblGrid>
      <w:tr>
        <w:tc>
          <w:tcPr/>
          <w:bookmarkStart w:id="122" w:name="fig-fairness"/>
          <w:p>
            <w:pPr>
              <w:pStyle w:val="Compact"/>
              <w:jc w:val="center"/>
            </w:pPr>
            <w:r>
              <w:drawing>
                <wp:inline>
                  <wp:extent cx="5334000" cy="3810000"/>
                  <wp:effectExtent b="0" l="0" r="0" t="0"/>
                  <wp:docPr descr="" title="" id="120" name="Picture"/>
                  <a:graphic>
                    <a:graphicData uri="http://schemas.openxmlformats.org/drawingml/2006/picture">
                      <pic:pic>
                        <pic:nvPicPr>
                          <pic:cNvPr descr="index_files/figure-docx/notebooks-fairness-fig-fairness-output-1.png" id="121" name="Picture"/>
                          <pic:cNvPicPr>
                            <a:picLocks noChangeArrowheads="1" noChangeAspect="1"/>
                          </pic:cNvPicPr>
                        </pic:nvPicPr>
                        <pic:blipFill>
                          <a:blip r:embed="rId11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auROC posterior distribution across different privileged vs. unprivileged groups</w:t>
            </w:r>
          </w:p>
          <w:bookmarkEnd w:id="122"/>
        </w:tc>
      </w:tr>
    </w:tbl>
    <w:p>
      <w:pPr>
        <w:pStyle w:val="BodyText"/>
      </w:pPr>
      <w:r>
        <w:rPr>
          <w:vertAlign w:val="subscript"/>
        </w:rPr>
        <w:t xml:space="preserve">Source:</w:t>
      </w:r>
      <w:r>
        <w:rPr>
          <w:vertAlign w:val="subscript"/>
        </w:rPr>
        <w:t xml:space="preserve"> </w:t>
      </w:r>
      <w:hyperlink r:id="rId123">
        <w:r>
          <w:rPr>
            <w:rStyle w:val="Hyperlink"/>
            <w:vertAlign w:val="subscript"/>
          </w:rPr>
          <w:t xml:space="preserve">Subgroup Analysis</w:t>
        </w:r>
      </w:hyperlink>
    </w:p>
    <w:p>
      <w:pPr>
        <w:pStyle w:val="BodyText"/>
      </w:pPr>
      <w:r>
        <w:t xml:space="preserve">See</w:t>
      </w:r>
      <w:r>
        <w:t xml:space="preserve"> </w:t>
      </w:r>
      <w:hyperlink w:anchor="tbl-fairnes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fairnes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median</w:t>
                  </w:r>
                </w:p>
              </w:tc>
              <w:tc>
                <w:tcPr/>
                <w:p>
                  <w:pPr>
                    <w:pStyle w:val="Compact"/>
                    <w:jc w:val="left"/>
                    <w:jc w:val="center"/>
                  </w:pPr>
                  <w:r>
                    <w:t xml:space="preserve">lower</w:t>
                  </w:r>
                </w:p>
              </w:tc>
              <w:tc>
                <w:tcPr/>
                <w:p>
                  <w:pPr>
                    <w:pStyle w:val="Compact"/>
                    <w:jc w:val="left"/>
                    <w:jc w:val="center"/>
                  </w:pPr>
                  <w:r>
                    <w:t xml:space="preserve">upper</w:t>
                  </w:r>
                </w:p>
              </w:tc>
              <w:tc>
                <w:tcPr/>
                <w:p>
                  <w:pPr>
                    <w:pStyle w:val="Compact"/>
                    <w:jc w:val="left"/>
                    <w:jc w:val="center"/>
                  </w:pPr>
                  <w:r>
                    <w:t xml:space="preserve">probability</w:t>
                  </w:r>
                </w:p>
              </w:tc>
            </w:tr>
            <w:tr>
              <w:tc>
                <w:tcPr/>
                <w:p>
                  <w:pPr>
                    <w:pStyle w:val="Compact"/>
                    <w:jc w:val="left"/>
                    <w:jc w:val="center"/>
                  </w:pPr>
                  <w:r>
                    <w:t xml:space="preserve">white vs. non_white</w:t>
                  </w:r>
                </w:p>
              </w:tc>
              <w:tc>
                <w:tcPr/>
                <w:p>
                  <w:pPr>
                    <w:pStyle w:val="Compact"/>
                    <w:jc w:val="left"/>
                    <w:jc w:val="center"/>
                  </w:pPr>
                  <w:r>
                    <w:t xml:space="preserve">0.03</w:t>
                  </w:r>
                </w:p>
              </w:tc>
              <w:tc>
                <w:tcPr/>
                <w:p>
                  <w:pPr>
                    <w:pStyle w:val="Compact"/>
                    <w:jc w:val="left"/>
                    <w:jc w:val="center"/>
                  </w:pPr>
                  <w:r>
                    <w:t xml:space="preserve">0.01</w:t>
                  </w:r>
                </w:p>
              </w:tc>
              <w:tc>
                <w:tcPr/>
                <w:p>
                  <w:pPr>
                    <w:pStyle w:val="Compact"/>
                    <w:jc w:val="left"/>
                    <w:jc w:val="center"/>
                  </w:pPr>
                  <w:r>
                    <w:t xml:space="preserve">0.06</w:t>
                  </w:r>
                </w:p>
              </w:tc>
              <w:tc>
                <w:tcPr/>
                <w:p>
                  <w:pPr>
                    <w:pStyle w:val="Compact"/>
                    <w:jc w:val="left"/>
                    <w:jc w:val="center"/>
                  </w:pPr>
                  <w:r>
                    <w:t xml:space="preserve">0.99</w:t>
                  </w:r>
                </w:p>
              </w:tc>
            </w:tr>
            <w:tr>
              <w:tc>
                <w:tcPr/>
                <w:p>
                  <w:pPr>
                    <w:pStyle w:val="Compact"/>
                    <w:jc w:val="left"/>
                    <w:jc w:val="center"/>
                  </w:pPr>
                  <w:r>
                    <w:t xml:space="preserve">male vs. female</w:t>
                  </w:r>
                </w:p>
              </w:tc>
              <w:tc>
                <w:tcPr/>
                <w:p>
                  <w:pPr>
                    <w:pStyle w:val="Compact"/>
                    <w:jc w:val="left"/>
                    <w:jc w:val="center"/>
                  </w:pPr>
                  <w:r>
                    <w:t xml:space="preserve">0.02</w:t>
                  </w:r>
                </w:p>
              </w:tc>
              <w:tc>
                <w:tcPr/>
                <w:p>
                  <w:pPr>
                    <w:pStyle w:val="Compact"/>
                    <w:jc w:val="left"/>
                    <w:jc w:val="center"/>
                  </w:pPr>
                  <w:r>
                    <w:t xml:space="preserve">0.01</w:t>
                  </w:r>
                </w:p>
              </w:tc>
              <w:tc>
                <w:tcPr/>
                <w:p>
                  <w:pPr>
                    <w:pStyle w:val="Compact"/>
                    <w:jc w:val="left"/>
                    <w:jc w:val="center"/>
                  </w:pPr>
                  <w:r>
                    <w:t xml:space="preserve">0.04</w:t>
                  </w:r>
                </w:p>
              </w:tc>
              <w:tc>
                <w:tcPr/>
                <w:p>
                  <w:pPr>
                    <w:pStyle w:val="Compact"/>
                    <w:jc w:val="left"/>
                    <w:jc w:val="center"/>
                  </w:pPr>
                  <w:r>
                    <w:t xml:space="preserve">1.00</w:t>
                  </w:r>
                </w:p>
              </w:tc>
            </w:tr>
            <w:tr>
              <w:tc>
                <w:tcPr/>
                <w:p>
                  <w:pPr>
                    <w:pStyle w:val="Compact"/>
                    <w:jc w:val="left"/>
                    <w:jc w:val="center"/>
                  </w:pPr>
                  <w:r>
                    <w:t xml:space="preserve">younger vs. older</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0.07</w:t>
                  </w:r>
                </w:p>
              </w:tc>
              <w:tc>
                <w:tcPr/>
                <w:p>
                  <w:pPr>
                    <w:pStyle w:val="Compact"/>
                    <w:jc w:val="left"/>
                    <w:jc w:val="center"/>
                  </w:pPr>
                  <w:r>
                    <w:t xml:space="preserve">1.00</w:t>
                  </w:r>
                </w:p>
              </w:tc>
            </w:tr>
            <w:tr>
              <w:tc>
                <w:tcPr/>
                <w:p>
                  <w:pPr>
                    <w:pStyle w:val="Compact"/>
                    <w:jc w:val="left"/>
                    <w:jc w:val="center"/>
                  </w:pPr>
                  <w:r>
                    <w:t xml:space="preserve">above_poverty vs. below_poverty</w:t>
                  </w:r>
                </w:p>
              </w:tc>
              <w:tc>
                <w:tcPr/>
                <w:p>
                  <w:pPr>
                    <w:pStyle w:val="Compact"/>
                    <w:jc w:val="left"/>
                    <w:jc w:val="center"/>
                  </w:pPr>
                  <w:r>
                    <w:t xml:space="preserve">0.02</w:t>
                  </w:r>
                </w:p>
              </w:tc>
              <w:tc>
                <w:tcPr/>
                <w:p>
                  <w:pPr>
                    <w:pStyle w:val="Compact"/>
                    <w:jc w:val="left"/>
                    <w:jc w:val="center"/>
                  </w:pPr>
                  <w:r>
                    <w:t xml:space="preserve">0.00</w:t>
                  </w:r>
                </w:p>
              </w:tc>
              <w:tc>
                <w:tcPr/>
                <w:p>
                  <w:pPr>
                    <w:pStyle w:val="Compact"/>
                    <w:jc w:val="left"/>
                    <w:jc w:val="center"/>
                  </w:pPr>
                  <w:r>
                    <w:t xml:space="preserve">0.04</w:t>
                  </w:r>
                </w:p>
              </w:tc>
              <w:tc>
                <w:tcPr/>
                <w:p>
                  <w:pPr>
                    <w:pStyle w:val="Compact"/>
                    <w:jc w:val="left"/>
                    <w:jc w:val="center"/>
                  </w:pPr>
                  <w:r>
                    <w:t xml:space="preserve">0.99</w:t>
                  </w:r>
                </w:p>
              </w:tc>
            </w:tr>
          </w:tbl>
          <w:p>
            <w:pPr>
              <w:jc w:val="center"/>
            </w:pPr>
            <w:pPr>
              <w:jc w:val="start"/>
              <w:spacing w:before="200"/>
              <w:pStyle w:val="ImageCaption"/>
            </w:pPr>
            <w:r>
              <w:t xml:space="preserve">Table 4: Model Performance Difference across different demographic subgroups</w:t>
            </w:r>
          </w:p>
          <w:bookmarkEnd w:id="124"/>
        </w:tc>
      </w:tr>
    </w:tbl>
    <w:bookmarkEnd w:id="125"/>
    <w:bookmarkStart w:id="131" w:name="model-interpretation"/>
    <w:p>
      <w:pPr>
        <w:pStyle w:val="Heading2"/>
      </w:pPr>
      <w:r>
        <w:t xml:space="preserve">Model Interpretation</w:t>
      </w:r>
    </w:p>
    <w:p>
      <w:pPr>
        <w:pStyle w:val="FirstParagraph"/>
      </w:pPr>
      <w:r>
        <w:t xml:space="preserve">The top 30 LIWC categories with the highest global shapley values were displayed in</w:t>
      </w:r>
      <w:r>
        <w:t xml:space="preserve"> </w:t>
      </w:r>
      <w:hyperlink w:anchor="fig-shaps">
        <w:r>
          <w:rPr>
            <w:rStyle w:val="Hyperlink"/>
          </w:rPr>
          <w:t xml:space="preserve">Figure 15</w:t>
        </w:r>
      </w:hyperlink>
      <w:r>
        <w:t xml:space="preserve">. Three categories appeared to be the most robust in contributing to model output – social processes (e.g., you, we, he, she), social behavior (e.g., said, love, say, care), and second person pronoun (e.g., you, your, yourself). The other less robust categories included total word count, clout (language of leadership), assent (e.g., yeah, yes, okay, ok), social referents (e.g., you, we, he, she), and prosocial behaviors (e.g., care, help, thank, please).</w:t>
      </w:r>
    </w:p>
    <w:tbl>
      <w:tblPr>
        <w:tblStyle w:val="Table"/>
        <w:tblW w:type="pct" w:w="5000"/>
        <w:tblLayout w:type="fixed"/>
        <w:tblLook w:firstRow="0" w:lastRow="0" w:firstColumn="0" w:lastColumn="0" w:noHBand="0" w:noVBand="0" w:val="0000"/>
      </w:tblPr>
      <w:tblGrid>
        <w:gridCol w:w="7920"/>
      </w:tblGrid>
      <w:tr>
        <w:tc>
          <w:tcPr/>
          <w:bookmarkStart w:id="129" w:name="fig-shaps"/>
          <w:p>
            <w:pPr>
              <w:pStyle w:val="Compact"/>
              <w:jc w:val="center"/>
            </w:pPr>
            <w:r>
              <w:drawing>
                <wp:inline>
                  <wp:extent cx="5334000" cy="3810000"/>
                  <wp:effectExtent b="0" l="0" r="0" t="0"/>
                  <wp:docPr descr="" title="" id="127" name="Picture"/>
                  <a:graphic>
                    <a:graphicData uri="http://schemas.openxmlformats.org/drawingml/2006/picture">
                      <pic:pic>
                        <pic:nvPicPr>
                          <pic:cNvPr descr="index_files/figure-docx/notebooks-shaps-fig-shaps-output-1.png" id="128" name="Picture"/>
                          <pic:cNvPicPr>
                            <a:picLocks noChangeArrowheads="1" noChangeAspect="1"/>
                          </pic:cNvPicPr>
                        </pic:nvPicPr>
                        <pic:blipFill>
                          <a:blip r:embed="rId12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Shapley Value</w:t>
            </w:r>
          </w:p>
          <w:bookmarkEnd w:id="129"/>
        </w:tc>
      </w:tr>
    </w:tbl>
    <w:p>
      <w:pPr>
        <w:pStyle w:val="BodyText"/>
      </w:pPr>
      <w:r>
        <w:rPr>
          <w:vertAlign w:val="subscript"/>
        </w:rPr>
        <w:t xml:space="preserve">Source:</w:t>
      </w:r>
      <w:r>
        <w:rPr>
          <w:vertAlign w:val="subscript"/>
        </w:rPr>
        <w:t xml:space="preserve"> </w:t>
      </w:r>
      <w:hyperlink r:id="rId130">
        <w:r>
          <w:rPr>
            <w:rStyle w:val="Hyperlink"/>
            <w:vertAlign w:val="subscript"/>
          </w:rPr>
          <w:t xml:space="preserve">shaps</w:t>
        </w:r>
      </w:hyperlink>
    </w:p>
    <w:p>
      <w:r>
        <w:br w:type="page"/>
      </w:r>
    </w:p>
    <w:bookmarkEnd w:id="131"/>
    <w:bookmarkEnd w:id="132"/>
    <w:bookmarkStart w:id="254" w:name="discussions"/>
    <w:p>
      <w:pPr>
        <w:pStyle w:val="Heading1"/>
      </w:pPr>
      <w:r>
        <w:t xml:space="preserve">Discussions</w:t>
      </w:r>
    </w:p>
    <w:p>
      <w:pPr>
        <w:pStyle w:val="FirstParagraph"/>
      </w:pPr>
      <w:r>
        <w:t xml:space="preserve">Overall, our best machine learning model configuration leveraging linguistic categories from SMS messages to predict a single episode of alcohol lapse achieved an auROC score of .53. Despite that the model performed better than chance, its relatively slight increase indicated that LIWC was not sufficient enough to extract signals that predict alcohol lapse. Our LIWC model only serves as a baseline model, and more robust features need to be engineered from SMS messages to achieve better prediction.</w:t>
      </w:r>
    </w:p>
    <w:p>
      <w:pPr>
        <w:pStyle w:val="BodyText"/>
      </w:pPr>
      <w:r>
        <w:t xml:space="preserve">To improve model performance, we might consider subsetting messages based on their types. For instance, we can analyze incoming and outgoing messages individually. By distinguishing between the two, we might get a more refined understanding of communication dynamics. For example, incoming messages might indicate the level of social support one gets and outgoing messages might reflect their level of self-disclosure and willingness to seek help. In the current study, we have taken a different approach that combined the two message types together. Although it provides an overview of social interations between participants and their contacts, it might overlook some nuanced distinctions underlying texts from those two message types. On the other hand, it is important to emphasize potential drawbacks to separate the two message types, especially given the limited number of messages (see</w:t>
      </w:r>
      <w:r>
        <w:t xml:space="preserve"> </w:t>
      </w:r>
      <w:r>
        <w:rPr>
          <w:i/>
          <w:iCs/>
        </w:rPr>
        <w:t xml:space="preserve">Section Sample Distribution</w:t>
      </w:r>
      <w:r>
        <w:t xml:space="preserve">) associated with each label. It might lead to the problem of data sparsity which might even exacerbate model performance and decrease its generalizability.</w:t>
      </w:r>
    </w:p>
    <w:p>
      <w:pPr>
        <w:pStyle w:val="BodyText"/>
      </w:pPr>
      <w:r>
        <w:t xml:space="preserve">We can further try a variety of other natural language processing techniques for feature engineering including topic modeling, sentiment analysis, n-grams approach and word embeddings. Topic modeling is an unsupervised machine learning method to identify clusters of topics in a body of text. Sentiment Analysis infers the emotional underpinning of texts. We will extract both emotional valence (i.e., positive, neutral, and negative emotional tone) and basic emotion categories (e.g., anger, fear) from SMS messages. Research has found that positive/negative emotional state to be associated with increased alcohol relapse risks</w:t>
      </w:r>
      <w:r>
        <w:t xml:space="preserve"> </w:t>
      </w:r>
      <w:r>
        <w:t xml:space="preserve">(Brown, Vik, and Creamer 1989; J. R. McKay 1999; James R. McKay et al. 2006)</w:t>
      </w:r>
      <w:r>
        <w:t xml:space="preserve">. An n-gram approach represents bags-of-words occurrences inside a document. We can leverage a combination of term frequency and inverse document frequency to mine word importance inside a document. Word embeddings are vectors that represent relationships of words within a document in a lower-dimension.</w:t>
      </w:r>
    </w:p>
    <w:p>
      <w:pPr>
        <w:pStyle w:val="BodyText"/>
      </w:pPr>
      <w:r>
        <w:t xml:space="preserve">Note that these feature engineering techniques encompass both top-down approaches and bottom-up approaches and thus differ in their interpretability. Topic modeling, n-grams, and word embeddings are exemplary empirically-driven methods. Sentiment analysis aligns with concepts in affect science. Features built from these top-down approaches may be more interpretable and can map on to current interventions. Importantly, our desired predictive model should not only have good predictive ability but also be interpretable enough to understand intervention-relevant risk factors.</w:t>
      </w:r>
    </w:p>
    <w:p>
      <w:pPr>
        <w:pStyle w:val="BodyText"/>
      </w:pPr>
      <w:r>
        <w:t xml:space="preserve">The minimal signal we detected in SMS messages might also reflect that text messages itself is not an effective data source to predict lapses. One potential reason might include that most people do not engage in enough texting behaviors that produce meaningful patterns near the time of lapsing. Some people might also not use text messaging as their main source of communication. The lack of sufficient data points curtails machine learning models’ ability to detect risk-relevant signals. Additionally, text messages might not convey information indicative of risk-relevant factors such as alcohol cravings</w:t>
      </w:r>
      <w:r>
        <w:t xml:space="preserve"> </w:t>
      </w:r>
      <w:r>
        <w:t xml:space="preserve">(J. R. McKay 1999; Korlakunta, Chary, and Reddy 2012-07/2012-12; Wyant et al. 2024)</w:t>
      </w:r>
      <w:r>
        <w:t xml:space="preserve">. Communications in SMS messages might involve casual and monotonous interactions which lacks specificity to effectively predict lapses.</w:t>
      </w:r>
    </w:p>
    <w:p>
      <w:pPr>
        <w:pStyle w:val="BodyText"/>
      </w:pPr>
      <w:r>
        <w:t xml:space="preserve">Alternatively, we can explore adoption of metadata from text messages and voice calls as predictive features. Those metadata include number of messages within a prediction window, contextual information related to the contact person, timing of messages or calls, etc. We can mine sudden changes to messaging or calling behaviors from those metadata that might signal enhanced lapse risks. For example, an increased number of late night outgoing messages might indicate a sudden mood change preceding a lapse.</w:t>
      </w:r>
    </w:p>
    <w:p>
      <w:pPr>
        <w:pStyle w:val="BodyText"/>
      </w:pPr>
      <w:r>
        <w:t xml:space="preserve">Surprisingly, despite the low performance score, we still witnessed consistent unfairness in our algorithm for unprivileged demographic subgroups. One key factor that contributed to the model biases might be the disproportionate representation of subgroups such as racial minorities. Importantly, however, our model still systematically misrepresented other demographic subgroups even if they were well-represented in our training data. The other explanation might be that our features were inherently biased against subgroups. People from different demographic groups might display different language styles, and LIWC might be more attuned to those from the majority groups. As such, we should further try other natural language processing techniques that incorporate more fair features.</w:t>
      </w:r>
    </w:p>
    <w:p>
      <w:pPr>
        <w:pStyle w:val="BodyText"/>
      </w:pPr>
      <w:r>
        <w:t xml:space="preserve">In sum, our machine learning algorithm had minimal increase in performance compared to random guess. The results call for further exploration of other feature engineering techniques to build models that have higher performance, are interpretable and have low algorithmic biases.</w:t>
      </w:r>
    </w:p>
    <w:p>
      <w:r>
        <w:br w:type="page"/>
      </w:r>
    </w:p>
    <w:bookmarkStart w:id="253" w:name="refs"/>
    <w:bookmarkStart w:id="134"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133">
        <w:r>
          <w:rPr>
            <w:rStyle w:val="Hyperlink"/>
          </w:rPr>
          <w:t xml:space="preserve">https://doi.org/10.1007/s13311-019-00814-4</w:t>
        </w:r>
      </w:hyperlink>
      <w:r>
        <w:t xml:space="preserve">.</w:t>
      </w:r>
    </w:p>
    <w:bookmarkEnd w:id="134"/>
    <w:bookmarkStart w:id="136"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35">
        <w:r>
          <w:rPr>
            <w:rStyle w:val="Hyperlink"/>
          </w:rPr>
          <w:t xml:space="preserve">https://doi.org/10.1093/jamia/ocy166</w:t>
        </w:r>
      </w:hyperlink>
      <w:r>
        <w:t xml:space="preserve">.</w:t>
      </w:r>
    </w:p>
    <w:bookmarkEnd w:id="136"/>
    <w:bookmarkStart w:id="138"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37">
        <w:r>
          <w:rPr>
            <w:rStyle w:val="Hyperlink"/>
          </w:rPr>
          <w:t xml:space="preserve">https://doi.org/10.1109/iCCECOME.2018.8658578</w:t>
        </w:r>
      </w:hyperlink>
      <w:r>
        <w:t xml:space="preserve">.</w:t>
      </w:r>
    </w:p>
    <w:bookmarkEnd w:id="138"/>
    <w:bookmarkStart w:id="140"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39">
        <w:r>
          <w:rPr>
            <w:rStyle w:val="Hyperlink"/>
          </w:rPr>
          <w:t xml:space="preserve">https://doi.org/10.1016/j.addbeh.2018.11.008</w:t>
        </w:r>
      </w:hyperlink>
      <w:r>
        <w:t xml:space="preserve">.</w:t>
      </w:r>
    </w:p>
    <w:bookmarkEnd w:id="140"/>
    <w:bookmarkStart w:id="142"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41">
        <w:r>
          <w:rPr>
            <w:rStyle w:val="Hyperlink"/>
          </w:rPr>
          <w:t xml:space="preserve">https://doi.org/10.1016/j.addbeh.2017.11.039</w:t>
        </w:r>
      </w:hyperlink>
      <w:r>
        <w:t xml:space="preserve">.</w:t>
      </w:r>
    </w:p>
    <w:bookmarkEnd w:id="142"/>
    <w:bookmarkStart w:id="144"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43">
        <w:r>
          <w:rPr>
            <w:rStyle w:val="Hyperlink"/>
          </w:rPr>
          <w:t xml:space="preserve">https://doi.org/10.2196/31877</w:t>
        </w:r>
      </w:hyperlink>
      <w:r>
        <w:t xml:space="preserve">.</w:t>
      </w:r>
    </w:p>
    <w:bookmarkEnd w:id="144"/>
    <w:bookmarkStart w:id="146"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45">
        <w:r>
          <w:rPr>
            <w:rStyle w:val="Hyperlink"/>
          </w:rPr>
          <w:t xml:space="preserve">https://doi.org/10.1016/0306-4603(89)90060-9</w:t>
        </w:r>
      </w:hyperlink>
      <w:r>
        <w:t xml:space="preserve">.</w:t>
      </w:r>
    </w:p>
    <w:bookmarkEnd w:id="146"/>
    <w:bookmarkStart w:id="148"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47">
        <w:r>
          <w:rPr>
            <w:rStyle w:val="Hyperlink"/>
          </w:rPr>
          <w:t xml:space="preserve">https://doi.org/10.3389/fpsyt.2019.00344</w:t>
        </w:r>
      </w:hyperlink>
      <w:r>
        <w:t xml:space="preserve">.</w:t>
      </w:r>
    </w:p>
    <w:bookmarkEnd w:id="148"/>
    <w:bookmarkStart w:id="150"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49">
        <w:r>
          <w:rPr>
            <w:rStyle w:val="Hyperlink"/>
          </w:rPr>
          <w:t xml:space="preserve">https://doi.org/10.1007/s40429-018-0192-0</w:t>
        </w:r>
      </w:hyperlink>
      <w:r>
        <w:t xml:space="preserve">.</w:t>
      </w:r>
    </w:p>
    <w:bookmarkEnd w:id="150"/>
    <w:bookmarkStart w:id="152"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51">
        <w:r>
          <w:rPr>
            <w:rStyle w:val="Hyperlink"/>
          </w:rPr>
          <w:t xml:space="preserve">https://doi.org/10.1016/j.jsat.2013.08.004</w:t>
        </w:r>
      </w:hyperlink>
      <w:r>
        <w:t xml:space="preserve">.</w:t>
      </w:r>
    </w:p>
    <w:bookmarkEnd w:id="152"/>
    <w:bookmarkStart w:id="154"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53">
        <w:r>
          <w:rPr>
            <w:rStyle w:val="Hyperlink"/>
          </w:rPr>
          <w:t xml:space="preserve">https://doi.org/10.1016/j.cpr.2005.11.004</w:t>
        </w:r>
      </w:hyperlink>
      <w:r>
        <w:t xml:space="preserve">.</w:t>
      </w:r>
    </w:p>
    <w:bookmarkEnd w:id="154"/>
    <w:bookmarkStart w:id="156"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55">
        <w:r>
          <w:rPr>
            <w:rStyle w:val="Hyperlink"/>
          </w:rPr>
          <w:t xml:space="preserve">https://doi.org/10.1016/j.psychres.2018.06.031</w:t>
        </w:r>
      </w:hyperlink>
      <w:r>
        <w:t xml:space="preserve">.</w:t>
      </w:r>
    </w:p>
    <w:bookmarkEnd w:id="156"/>
    <w:bookmarkStart w:id="158"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57">
        <w:r>
          <w:rPr>
            <w:rStyle w:val="Hyperlink"/>
          </w:rPr>
          <w:t xml:space="preserve">https://doi.org/10.1080/01612840.2016.1257076</w:t>
        </w:r>
      </w:hyperlink>
      <w:r>
        <w:t xml:space="preserve">.</w:t>
      </w:r>
    </w:p>
    <w:bookmarkEnd w:id="158"/>
    <w:bookmarkStart w:id="160"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59">
        <w:r>
          <w:rPr>
            <w:rStyle w:val="Hyperlink"/>
          </w:rPr>
          <w:t xml:space="preserve">https://doi.org/10.1016/j.comppsych.2015.05.010</w:t>
        </w:r>
      </w:hyperlink>
      <w:r>
        <w:t xml:space="preserve">.</w:t>
      </w:r>
    </w:p>
    <w:bookmarkEnd w:id="160"/>
    <w:bookmarkStart w:id="162"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61">
        <w:r>
          <w:rPr>
            <w:rStyle w:val="Hyperlink"/>
          </w:rPr>
          <w:t xml:space="preserve">https://doi.org/10.1186/s13690-023-01085-4</w:t>
        </w:r>
      </w:hyperlink>
      <w:r>
        <w:t xml:space="preserve">.</w:t>
      </w:r>
    </w:p>
    <w:bookmarkEnd w:id="162"/>
    <w:bookmarkStart w:id="164"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63">
        <w:r>
          <w:rPr>
            <w:rStyle w:val="Hyperlink"/>
          </w:rPr>
          <w:t xml:space="preserve">https://doi.org/10.1111/acer.13965</w:t>
        </w:r>
      </w:hyperlink>
      <w:r>
        <w:t xml:space="preserve">.</w:t>
      </w:r>
    </w:p>
    <w:bookmarkEnd w:id="164"/>
    <w:bookmarkStart w:id="166"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65">
        <w:r>
          <w:rPr>
            <w:rStyle w:val="Hyperlink"/>
          </w:rPr>
          <w:t xml:space="preserve">https://doi.org/10.1097/ADM.0000000000000918</w:t>
        </w:r>
      </w:hyperlink>
      <w:r>
        <w:t xml:space="preserve">.</w:t>
      </w:r>
    </w:p>
    <w:bookmarkEnd w:id="166"/>
    <w:bookmarkStart w:id="168"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67">
        <w:r>
          <w:rPr>
            <w:rStyle w:val="Hyperlink"/>
          </w:rPr>
          <w:t xml:space="preserve">https://doi.org/10.1001/jamapsychiatry.2013.4642</w:t>
        </w:r>
      </w:hyperlink>
      <w:r>
        <w:t xml:space="preserve">.</w:t>
      </w:r>
    </w:p>
    <w:bookmarkEnd w:id="168"/>
    <w:bookmarkStart w:id="170"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69">
        <w:r>
          <w:rPr>
            <w:rStyle w:val="Hyperlink"/>
          </w:rPr>
          <w:t xml:space="preserve">https://doi.org/10.1016/s0741-8329(98)00065-2</w:t>
        </w:r>
      </w:hyperlink>
      <w:r>
        <w:t xml:space="preserve">.</w:t>
      </w:r>
    </w:p>
    <w:bookmarkEnd w:id="170"/>
    <w:bookmarkStart w:id="172"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71">
        <w:r>
          <w:rPr>
            <w:rStyle w:val="Hyperlink"/>
          </w:rPr>
          <w:t xml:space="preserve">https://doi.org/10.1016/j.ajp.2016.08.003</w:t>
        </w:r>
      </w:hyperlink>
      <w:r>
        <w:t xml:space="preserve">.</w:t>
      </w:r>
    </w:p>
    <w:bookmarkEnd w:id="172"/>
    <w:bookmarkStart w:id="174"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73">
        <w:r>
          <w:rPr>
            <w:rStyle w:val="Hyperlink"/>
          </w:rPr>
          <w:t xml:space="preserve">https://doi.org/10.1111/j.1475-6773.2006.00612.x</w:t>
        </w:r>
      </w:hyperlink>
      <w:r>
        <w:t xml:space="preserve">.</w:t>
      </w:r>
    </w:p>
    <w:bookmarkEnd w:id="174"/>
    <w:bookmarkStart w:id="176"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75">
        <w:r>
          <w:rPr>
            <w:rStyle w:val="Hyperlink"/>
          </w:rPr>
          <w:t xml:space="preserve">https://doi.org/10.1016/B978-0-323-90045-4.00005-8</w:t>
        </w:r>
      </w:hyperlink>
      <w:r>
        <w:t xml:space="preserve">.</w:t>
      </w:r>
    </w:p>
    <w:bookmarkEnd w:id="176"/>
    <w:bookmarkStart w:id="178"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77">
        <w:r>
          <w:rPr>
            <w:rStyle w:val="Hyperlink"/>
          </w:rPr>
          <w:t xml:space="preserve">https://doi.org/10.1046/j.1360-0443.91.12s1.4.x</w:t>
        </w:r>
      </w:hyperlink>
      <w:r>
        <w:t xml:space="preserve">.</w:t>
      </w:r>
    </w:p>
    <w:bookmarkEnd w:id="178"/>
    <w:bookmarkStart w:id="180"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79">
        <w:r>
          <w:rPr>
            <w:rStyle w:val="Hyperlink"/>
          </w:rPr>
          <w:t xml:space="preserve">https://doi.org/10.1007/s00127-013-0740-9</w:t>
        </w:r>
      </w:hyperlink>
      <w:r>
        <w:t xml:space="preserve">.</w:t>
      </w:r>
    </w:p>
    <w:bookmarkEnd w:id="180"/>
    <w:bookmarkStart w:id="181"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81"/>
    <w:bookmarkStart w:id="183"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82">
        <w:r>
          <w:rPr>
            <w:rStyle w:val="Hyperlink"/>
          </w:rPr>
          <w:t xml:space="preserve">https://doi.org/10.2196/17458</w:t>
        </w:r>
      </w:hyperlink>
      <w:r>
        <w:t xml:space="preserve">.</w:t>
      </w:r>
    </w:p>
    <w:bookmarkEnd w:id="183"/>
    <w:bookmarkStart w:id="185"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84">
        <w:r>
          <w:rPr>
            <w:rStyle w:val="Hyperlink"/>
          </w:rPr>
          <w:t xml:space="preserve">https://doi.org/10.1109/JAS.2023.123015</w:t>
        </w:r>
      </w:hyperlink>
      <w:r>
        <w:t xml:space="preserve">.</w:t>
      </w:r>
    </w:p>
    <w:bookmarkEnd w:id="185"/>
    <w:bookmarkStart w:id="187"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86">
        <w:r>
          <w:rPr>
            <w:rStyle w:val="Hyperlink"/>
          </w:rPr>
          <w:t xml:space="preserve">https://doi.org/10.1046/j.1360-0443.91.12s1.16.x</w:t>
        </w:r>
      </w:hyperlink>
      <w:r>
        <w:t xml:space="preserve">.</w:t>
      </w:r>
    </w:p>
    <w:bookmarkEnd w:id="187"/>
    <w:bookmarkStart w:id="18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88"/>
    <w:bookmarkStart w:id="190"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89">
        <w:r>
          <w:rPr>
            <w:rStyle w:val="Hyperlink"/>
          </w:rPr>
          <w:t xml:space="preserve">https://doi.org/10.1016/j.drugalcdep.2018.03.016</w:t>
        </w:r>
      </w:hyperlink>
      <w:r>
        <w:t xml:space="preserve">.</w:t>
      </w:r>
    </w:p>
    <w:bookmarkEnd w:id="190"/>
    <w:bookmarkStart w:id="192"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91">
        <w:r>
          <w:rPr>
            <w:rStyle w:val="Hyperlink"/>
          </w:rPr>
          <w:t xml:space="preserve">https://doi.org/10.1046/j.1360-0443.91.12s1.15.x</w:t>
        </w:r>
      </w:hyperlink>
      <w:r>
        <w:t xml:space="preserve">.</w:t>
      </w:r>
    </w:p>
    <w:bookmarkEnd w:id="192"/>
    <w:bookmarkStart w:id="193"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93"/>
    <w:bookmarkStart w:id="195"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94">
        <w:r>
          <w:rPr>
            <w:rStyle w:val="Hyperlink"/>
          </w:rPr>
          <w:t xml:space="preserve">https://doi.org/10.4303/jdar/236083</w:t>
        </w:r>
      </w:hyperlink>
      <w:r>
        <w:t xml:space="preserve">.</w:t>
      </w:r>
    </w:p>
    <w:bookmarkEnd w:id="195"/>
    <w:bookmarkStart w:id="197"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96">
        <w:r>
          <w:rPr>
            <w:rStyle w:val="Hyperlink"/>
          </w:rPr>
          <w:t xml:space="preserve">https://doi.org/10.15288/jsa.1999.60.566</w:t>
        </w:r>
      </w:hyperlink>
      <w:r>
        <w:t xml:space="preserve">.</w:t>
      </w:r>
    </w:p>
    <w:bookmarkEnd w:id="197"/>
    <w:bookmarkStart w:id="199"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98">
        <w:r>
          <w:rPr>
            <w:rStyle w:val="Hyperlink"/>
          </w:rPr>
          <w:t xml:space="preserve">https://doi.org/10.1016/j.cpr.2005.11.002</w:t>
        </w:r>
      </w:hyperlink>
      <w:r>
        <w:t xml:space="preserve">.</w:t>
      </w:r>
    </w:p>
    <w:bookmarkEnd w:id="199"/>
    <w:bookmarkStart w:id="201"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200">
        <w:r>
          <w:rPr>
            <w:rStyle w:val="Hyperlink"/>
          </w:rPr>
          <w:t xml:space="preserve">https://doi.org/10.1111/add.15771</w:t>
        </w:r>
      </w:hyperlink>
      <w:r>
        <w:t xml:space="preserve">.</w:t>
      </w:r>
    </w:p>
    <w:bookmarkEnd w:id="201"/>
    <w:bookmarkStart w:id="203"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202">
        <w:r>
          <w:rPr>
            <w:rStyle w:val="Hyperlink"/>
          </w:rPr>
          <w:t xml:space="preserve">https://doi.org/10.1046/j.1360-0443.91.12s1.6.x</w:t>
        </w:r>
      </w:hyperlink>
      <w:r>
        <w:t xml:space="preserve">.</w:t>
      </w:r>
    </w:p>
    <w:bookmarkEnd w:id="203"/>
    <w:bookmarkStart w:id="205"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204">
        <w:r>
          <w:rPr>
            <w:rStyle w:val="Hyperlink"/>
          </w:rPr>
          <w:t xml:space="preserve">https://doi.org/10.1186/s13722-023-00387-w</w:t>
        </w:r>
      </w:hyperlink>
      <w:r>
        <w:t xml:space="preserve">.</w:t>
      </w:r>
    </w:p>
    <w:bookmarkEnd w:id="205"/>
    <w:bookmarkStart w:id="206"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206"/>
    <w:bookmarkStart w:id="207"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207"/>
    <w:bookmarkStart w:id="208"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208"/>
    <w:bookmarkStart w:id="210"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209">
        <w:r>
          <w:rPr>
            <w:rStyle w:val="Hyperlink"/>
          </w:rPr>
          <w:t xml:space="preserve">https://doi.org/10.1093/tbm/ibab048</w:t>
        </w:r>
      </w:hyperlink>
      <w:r>
        <w:t xml:space="preserve">.</w:t>
      </w:r>
    </w:p>
    <w:bookmarkEnd w:id="210"/>
    <w:bookmarkStart w:id="212"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211">
        <w:r>
          <w:rPr>
            <w:rStyle w:val="Hyperlink"/>
          </w:rPr>
          <w:t xml:space="preserve">https://doi.org/10.2196/35159</w:t>
        </w:r>
      </w:hyperlink>
      <w:r>
        <w:t xml:space="preserve">.</w:t>
      </w:r>
    </w:p>
    <w:bookmarkEnd w:id="212"/>
    <w:bookmarkStart w:id="214"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213">
        <w:r>
          <w:rPr>
            <w:rStyle w:val="Hyperlink"/>
          </w:rPr>
          <w:t xml:space="preserve">https://doi.org/10.1016/j.jad.2020.05.067</w:t>
        </w:r>
      </w:hyperlink>
      <w:r>
        <w:t xml:space="preserve">.</w:t>
      </w:r>
    </w:p>
    <w:bookmarkEnd w:id="214"/>
    <w:bookmarkStart w:id="216"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215">
        <w:r>
          <w:rPr>
            <w:rStyle w:val="Hyperlink"/>
          </w:rPr>
          <w:t xml:space="preserve">https://doi.org/10.1186/s13011-015-0028-z</w:t>
        </w:r>
      </w:hyperlink>
      <w:r>
        <w:t xml:space="preserve">.</w:t>
      </w:r>
    </w:p>
    <w:bookmarkEnd w:id="216"/>
    <w:bookmarkStart w:id="218"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217">
        <w:r>
          <w:rPr>
            <w:rStyle w:val="Hyperlink"/>
          </w:rPr>
          <w:t xml:space="preserve">https://doi.org/10.1016/j.amepre.2015.05.031</w:t>
        </w:r>
      </w:hyperlink>
      <w:r>
        <w:t xml:space="preserve">.</w:t>
      </w:r>
    </w:p>
    <w:bookmarkEnd w:id="218"/>
    <w:bookmarkStart w:id="220"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219">
        <w:r>
          <w:rPr>
            <w:rStyle w:val="Hyperlink"/>
          </w:rPr>
          <w:t xml:space="preserve">https://doi.org/10.1176/appi.ps.201400160</w:t>
        </w:r>
      </w:hyperlink>
      <w:r>
        <w:t xml:space="preserve">.</w:t>
      </w:r>
    </w:p>
    <w:bookmarkEnd w:id="220"/>
    <w:bookmarkStart w:id="222"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221">
        <w:r>
          <w:rPr>
            <w:rStyle w:val="Hyperlink"/>
          </w:rPr>
          <w:t xml:space="preserve">https://doi.org/10.1016/j.jsat.2004.09.006</w:t>
        </w:r>
      </w:hyperlink>
      <w:r>
        <w:t xml:space="preserve">.</w:t>
      </w:r>
    </w:p>
    <w:bookmarkEnd w:id="222"/>
    <w:bookmarkStart w:id="224"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223">
        <w:r>
          <w:rPr>
            <w:rStyle w:val="Hyperlink"/>
          </w:rPr>
          <w:t xml:space="preserve">https://doi.org/10.1097/CLD.0000000000000026</w:t>
        </w:r>
      </w:hyperlink>
      <w:r>
        <w:t xml:space="preserve">.</w:t>
      </w:r>
    </w:p>
    <w:bookmarkEnd w:id="224"/>
    <w:bookmarkStart w:id="226"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225">
        <w:r>
          <w:rPr>
            <w:rStyle w:val="Hyperlink"/>
          </w:rPr>
          <w:t xml:space="preserve">https://doi.org/10.1046/j.1360-0443.91.12s1.20.x</w:t>
        </w:r>
      </w:hyperlink>
      <w:r>
        <w:t xml:space="preserve">.</w:t>
      </w:r>
    </w:p>
    <w:bookmarkEnd w:id="226"/>
    <w:bookmarkStart w:id="228"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227">
        <w:r>
          <w:rPr>
            <w:rStyle w:val="Hyperlink"/>
          </w:rPr>
          <w:t xml:space="preserve">https://doi.org/10.1177/0261927X09351676</w:t>
        </w:r>
      </w:hyperlink>
      <w:r>
        <w:t xml:space="preserve">.</w:t>
      </w:r>
    </w:p>
    <w:bookmarkEnd w:id="228"/>
    <w:bookmarkStart w:id="230"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229">
        <w:r>
          <w:rPr>
            <w:rStyle w:val="Hyperlink"/>
          </w:rPr>
          <w:t xml:space="preserve">https://doi.org/10.1016/j.alcohol.2019.09.008</w:t>
        </w:r>
      </w:hyperlink>
      <w:r>
        <w:t xml:space="preserve">.</w:t>
      </w:r>
    </w:p>
    <w:bookmarkEnd w:id="230"/>
    <w:bookmarkStart w:id="232"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231">
        <w:r>
          <w:rPr>
            <w:rStyle w:val="Hyperlink"/>
          </w:rPr>
          <w:t xml:space="preserve">https://doi.org/10.3233/SHTI190386</w:t>
        </w:r>
      </w:hyperlink>
      <w:r>
        <w:t xml:space="preserve">.</w:t>
      </w:r>
    </w:p>
    <w:bookmarkEnd w:id="232"/>
    <w:bookmarkStart w:id="234"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233">
        <w:r>
          <w:rPr>
            <w:rStyle w:val="Hyperlink"/>
          </w:rPr>
          <w:t xml:space="preserve">https://doi.org/10.3390/jcm9020322</w:t>
        </w:r>
      </w:hyperlink>
      <w:r>
        <w:t xml:space="preserve">.</w:t>
      </w:r>
    </w:p>
    <w:bookmarkEnd w:id="234"/>
    <w:bookmarkStart w:id="236"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35">
        <w:r>
          <w:rPr>
            <w:rStyle w:val="Hyperlink"/>
          </w:rPr>
          <w:t xml:space="preserve">https://doi.org/10.1016/j.jsat.2016.12.013</w:t>
        </w:r>
      </w:hyperlink>
      <w:r>
        <w:t xml:space="preserve">.</w:t>
      </w:r>
    </w:p>
    <w:bookmarkEnd w:id="236"/>
    <w:bookmarkStart w:id="238"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37">
        <w:r>
          <w:rPr>
            <w:rStyle w:val="Hyperlink"/>
          </w:rPr>
          <w:t xml:space="preserve">https://doi.org/10.1111/acer.15222</w:t>
        </w:r>
      </w:hyperlink>
      <w:r>
        <w:t xml:space="preserve">.</w:t>
      </w:r>
    </w:p>
    <w:bookmarkEnd w:id="238"/>
    <w:bookmarkStart w:id="240"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39">
        <w:r>
          <w:rPr>
            <w:rStyle w:val="Hyperlink"/>
          </w:rPr>
          <w:t xml:space="preserve">https://doi.org/10.3109/10826084.2014.891616</w:t>
        </w:r>
      </w:hyperlink>
      <w:r>
        <w:t xml:space="preserve">.</w:t>
      </w:r>
    </w:p>
    <w:bookmarkEnd w:id="240"/>
    <w:bookmarkStart w:id="242"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41">
        <w:r>
          <w:rPr>
            <w:rStyle w:val="Hyperlink"/>
          </w:rPr>
          <w:t xml:space="preserve">https://doi.org/10.1007/s11606-017-4202-z</w:t>
        </w:r>
      </w:hyperlink>
      <w:r>
        <w:t xml:space="preserve">.</w:t>
      </w:r>
    </w:p>
    <w:bookmarkEnd w:id="242"/>
    <w:bookmarkStart w:id="244"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43">
        <w:r>
          <w:rPr>
            <w:rStyle w:val="Hyperlink"/>
          </w:rPr>
          <w:t xml:space="preserve">https://doi.org/10.1037/0003-066X.59.4.224</w:t>
        </w:r>
      </w:hyperlink>
      <w:r>
        <w:t xml:space="preserve">.</w:t>
      </w:r>
    </w:p>
    <w:bookmarkEnd w:id="244"/>
    <w:bookmarkStart w:id="246"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45">
        <w:r>
          <w:rPr>
            <w:rStyle w:val="Hyperlink"/>
          </w:rPr>
          <w:t xml:space="preserve">https://doi.org/10.1016/j.cpr.2007.01.002</w:t>
        </w:r>
      </w:hyperlink>
      <w:r>
        <w:t xml:space="preserve">.</w:t>
      </w:r>
    </w:p>
    <w:bookmarkEnd w:id="246"/>
    <w:bookmarkStart w:id="248"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47">
        <w:r>
          <w:rPr>
            <w:rStyle w:val="Hyperlink"/>
          </w:rPr>
          <w:t xml:space="preserve">https://doi.org/10.2196/41833</w:t>
        </w:r>
      </w:hyperlink>
      <w:r>
        <w:t xml:space="preserve">.</w:t>
      </w:r>
    </w:p>
    <w:bookmarkEnd w:id="248"/>
    <w:bookmarkStart w:id="250"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49">
        <w:r>
          <w:rPr>
            <w:rStyle w:val="Hyperlink"/>
          </w:rPr>
          <w:t xml:space="preserve">https://doi.org/10.1037/abn0000901</w:t>
        </w:r>
      </w:hyperlink>
      <w:r>
        <w:t xml:space="preserve">.</w:t>
      </w:r>
    </w:p>
    <w:bookmarkEnd w:id="250"/>
    <w:bookmarkStart w:id="252"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51">
        <w:r>
          <w:rPr>
            <w:rStyle w:val="Hyperlink"/>
          </w:rPr>
          <w:t xml:space="preserve">https://doi.org/10.1111/jrh.12293</w:t>
        </w:r>
      </w:hyperlink>
      <w:r>
        <w:t xml:space="preserve">.</w:t>
      </w:r>
    </w:p>
    <w:bookmarkEnd w:id="252"/>
    <w:bookmarkEnd w:id="253"/>
    <w:bookmarkEnd w:id="2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0" Target="media/rId30.png" /><Relationship Type="http://schemas.openxmlformats.org/officeDocument/2006/relationships/image" Id="rId103" Target="media/rId103.png" /><Relationship Type="http://schemas.openxmlformats.org/officeDocument/2006/relationships/image" Id="rId108" Target="media/rId108.png" /><Relationship Type="http://schemas.openxmlformats.org/officeDocument/2006/relationships/image" Id="rId113" Target="media/rId113.png" /><Relationship Type="http://schemas.openxmlformats.org/officeDocument/2006/relationships/image" Id="rId54" Target="media/rId54.png" /><Relationship Type="http://schemas.openxmlformats.org/officeDocument/2006/relationships/image" Id="rId97" Target="media/rId97.png" /><Relationship Type="http://schemas.openxmlformats.org/officeDocument/2006/relationships/image" Id="rId92" Target="media/rId92.png" /><Relationship Type="http://schemas.openxmlformats.org/officeDocument/2006/relationships/image" Id="rId84" Target="media/rId84.png" /><Relationship Type="http://schemas.openxmlformats.org/officeDocument/2006/relationships/image" Id="rId75" Target="media/rId75.png" /><Relationship Type="http://schemas.openxmlformats.org/officeDocument/2006/relationships/image" Id="rId70" Target="media/rId70.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119" Target="media/rId119.png" /><Relationship Type="http://schemas.openxmlformats.org/officeDocument/2006/relationships/image" Id="rId126" Target="media/rId126.png" /><Relationship Type="http://schemas.openxmlformats.org/officeDocument/2006/relationships/hyperlink" Id="rId167" Target="https://doi.org/10.1001/jamapsychiatry.2013.4642" TargetMode="External" /><Relationship Type="http://schemas.openxmlformats.org/officeDocument/2006/relationships/hyperlink" Id="rId179" Target="https://doi.org/10.1007/s00127-013-0740-9" TargetMode="External" /><Relationship Type="http://schemas.openxmlformats.org/officeDocument/2006/relationships/hyperlink" Id="rId241" Target="https://doi.org/10.1007/s11606-017-4202-z" TargetMode="External" /><Relationship Type="http://schemas.openxmlformats.org/officeDocument/2006/relationships/hyperlink" Id="rId133" Target="https://doi.org/10.1007/s13311-019-00814-4" TargetMode="External" /><Relationship Type="http://schemas.openxmlformats.org/officeDocument/2006/relationships/hyperlink" Id="rId149" Target="https://doi.org/10.1007/s40429-018-0192-0" TargetMode="External" /><Relationship Type="http://schemas.openxmlformats.org/officeDocument/2006/relationships/hyperlink" Id="rId145" Target="https://doi.org/10.1016/0306-4603(89)90060-9" TargetMode="External" /><Relationship Type="http://schemas.openxmlformats.org/officeDocument/2006/relationships/hyperlink" Id="rId175" Target="https://doi.org/10.1016/B978-0-323-90045-4.00005-8" TargetMode="External" /><Relationship Type="http://schemas.openxmlformats.org/officeDocument/2006/relationships/hyperlink" Id="rId141" Target="https://doi.org/10.1016/j.addbeh.2017.11.039" TargetMode="External" /><Relationship Type="http://schemas.openxmlformats.org/officeDocument/2006/relationships/hyperlink" Id="rId139" Target="https://doi.org/10.1016/j.addbeh.2018.11.008" TargetMode="External" /><Relationship Type="http://schemas.openxmlformats.org/officeDocument/2006/relationships/hyperlink" Id="rId171" Target="https://doi.org/10.1016/j.ajp.2016.08.003" TargetMode="External" /><Relationship Type="http://schemas.openxmlformats.org/officeDocument/2006/relationships/hyperlink" Id="rId229" Target="https://doi.org/10.1016/j.alcohol.2019.09.008" TargetMode="External" /><Relationship Type="http://schemas.openxmlformats.org/officeDocument/2006/relationships/hyperlink" Id="rId217" Target="https://doi.org/10.1016/j.amepre.2015.05.031" TargetMode="External" /><Relationship Type="http://schemas.openxmlformats.org/officeDocument/2006/relationships/hyperlink" Id="rId159" Target="https://doi.org/10.1016/j.comppsych.2015.05.010" TargetMode="External" /><Relationship Type="http://schemas.openxmlformats.org/officeDocument/2006/relationships/hyperlink" Id="rId198" Target="https://doi.org/10.1016/j.cpr.2005.11.002" TargetMode="External" /><Relationship Type="http://schemas.openxmlformats.org/officeDocument/2006/relationships/hyperlink" Id="rId153" Target="https://doi.org/10.1016/j.cpr.2005.11.004" TargetMode="External" /><Relationship Type="http://schemas.openxmlformats.org/officeDocument/2006/relationships/hyperlink" Id="rId245" Target="https://doi.org/10.1016/j.cpr.2007.01.002" TargetMode="External" /><Relationship Type="http://schemas.openxmlformats.org/officeDocument/2006/relationships/hyperlink" Id="rId189" Target="https://doi.org/10.1016/j.drugalcdep.2018.03.016" TargetMode="External" /><Relationship Type="http://schemas.openxmlformats.org/officeDocument/2006/relationships/hyperlink" Id="rId213" Target="https://doi.org/10.1016/j.jad.2020.05.067" TargetMode="External" /><Relationship Type="http://schemas.openxmlformats.org/officeDocument/2006/relationships/hyperlink" Id="rId221" Target="https://doi.org/10.1016/j.jsat.2004.09.006" TargetMode="External" /><Relationship Type="http://schemas.openxmlformats.org/officeDocument/2006/relationships/hyperlink" Id="rId151" Target="https://doi.org/10.1016/j.jsat.2013.08.004" TargetMode="External" /><Relationship Type="http://schemas.openxmlformats.org/officeDocument/2006/relationships/hyperlink" Id="rId235" Target="https://doi.org/10.1016/j.jsat.2016.12.013" TargetMode="External" /><Relationship Type="http://schemas.openxmlformats.org/officeDocument/2006/relationships/hyperlink" Id="rId155" Target="https://doi.org/10.1016/j.psychres.2018.06.031" TargetMode="External" /><Relationship Type="http://schemas.openxmlformats.org/officeDocument/2006/relationships/hyperlink" Id="rId169" Target="https://doi.org/10.1016/s0741-8329(98)00065-2" TargetMode="External" /><Relationship Type="http://schemas.openxmlformats.org/officeDocument/2006/relationships/hyperlink" Id="rId243" Target="https://doi.org/10.1037/0003-066X.59.4.224" TargetMode="External" /><Relationship Type="http://schemas.openxmlformats.org/officeDocument/2006/relationships/hyperlink" Id="rId249" Target="https://doi.org/10.1037/abn0000901" TargetMode="External" /><Relationship Type="http://schemas.openxmlformats.org/officeDocument/2006/relationships/hyperlink" Id="rId191" Target="https://doi.org/10.1046/j.1360-0443.91.12s1.15.x" TargetMode="External" /><Relationship Type="http://schemas.openxmlformats.org/officeDocument/2006/relationships/hyperlink" Id="rId186" Target="https://doi.org/10.1046/j.1360-0443.91.12s1.16.x" TargetMode="External" /><Relationship Type="http://schemas.openxmlformats.org/officeDocument/2006/relationships/hyperlink" Id="rId225" Target="https://doi.org/10.1046/j.1360-0443.91.12s1.20.x" TargetMode="External" /><Relationship Type="http://schemas.openxmlformats.org/officeDocument/2006/relationships/hyperlink" Id="rId177" Target="https://doi.org/10.1046/j.1360-0443.91.12s1.4.x" TargetMode="External" /><Relationship Type="http://schemas.openxmlformats.org/officeDocument/2006/relationships/hyperlink" Id="rId202" Target="https://doi.org/10.1046/j.1360-0443.91.12s1.6.x" TargetMode="External" /><Relationship Type="http://schemas.openxmlformats.org/officeDocument/2006/relationships/hyperlink" Id="rId157" Target="https://doi.org/10.1080/01612840.2016.1257076" TargetMode="External" /><Relationship Type="http://schemas.openxmlformats.org/officeDocument/2006/relationships/hyperlink" Id="rId135" Target="https://doi.org/10.1093/jamia/ocy166" TargetMode="External" /><Relationship Type="http://schemas.openxmlformats.org/officeDocument/2006/relationships/hyperlink" Id="rId209" Target="https://doi.org/10.1093/tbm/ibab048" TargetMode="External" /><Relationship Type="http://schemas.openxmlformats.org/officeDocument/2006/relationships/hyperlink" Id="rId165" Target="https://doi.org/10.1097/ADM.0000000000000918" TargetMode="External" /><Relationship Type="http://schemas.openxmlformats.org/officeDocument/2006/relationships/hyperlink" Id="rId223" Target="https://doi.org/10.1097/CLD.0000000000000026" TargetMode="External" /><Relationship Type="http://schemas.openxmlformats.org/officeDocument/2006/relationships/hyperlink" Id="rId184" Target="https://doi.org/10.1109/JAS.2023.123015" TargetMode="External" /><Relationship Type="http://schemas.openxmlformats.org/officeDocument/2006/relationships/hyperlink" Id="rId137" Target="https://doi.org/10.1109/iCCECOME.2018.8658578" TargetMode="External" /><Relationship Type="http://schemas.openxmlformats.org/officeDocument/2006/relationships/hyperlink" Id="rId163" Target="https://doi.org/10.1111/acer.13965" TargetMode="External" /><Relationship Type="http://schemas.openxmlformats.org/officeDocument/2006/relationships/hyperlink" Id="rId237" Target="https://doi.org/10.1111/acer.15222" TargetMode="External" /><Relationship Type="http://schemas.openxmlformats.org/officeDocument/2006/relationships/hyperlink" Id="rId200" Target="https://doi.org/10.1111/add.15771" TargetMode="External" /><Relationship Type="http://schemas.openxmlformats.org/officeDocument/2006/relationships/hyperlink" Id="rId173" Target="https://doi.org/10.1111/j.1475-6773.2006.00612.x" TargetMode="External" /><Relationship Type="http://schemas.openxmlformats.org/officeDocument/2006/relationships/hyperlink" Id="rId251" Target="https://doi.org/10.1111/jrh.12293" TargetMode="External" /><Relationship Type="http://schemas.openxmlformats.org/officeDocument/2006/relationships/hyperlink" Id="rId219" Target="https://doi.org/10.1176/appi.ps.201400160" TargetMode="External" /><Relationship Type="http://schemas.openxmlformats.org/officeDocument/2006/relationships/hyperlink" Id="rId227" Target="https://doi.org/10.1177/0261927X09351676" TargetMode="External" /><Relationship Type="http://schemas.openxmlformats.org/officeDocument/2006/relationships/hyperlink" Id="rId215" Target="https://doi.org/10.1186/s13011-015-0028-z" TargetMode="External" /><Relationship Type="http://schemas.openxmlformats.org/officeDocument/2006/relationships/hyperlink" Id="rId161" Target="https://doi.org/10.1186/s13690-023-01085-4" TargetMode="External" /><Relationship Type="http://schemas.openxmlformats.org/officeDocument/2006/relationships/hyperlink" Id="rId204" Target="https://doi.org/10.1186/s13722-023-00387-w" TargetMode="External" /><Relationship Type="http://schemas.openxmlformats.org/officeDocument/2006/relationships/hyperlink" Id="rId196" Target="https://doi.org/10.15288/jsa.1999.60.566" TargetMode="External" /><Relationship Type="http://schemas.openxmlformats.org/officeDocument/2006/relationships/hyperlink" Id="rId182" Target="https://doi.org/10.2196/17458" TargetMode="External" /><Relationship Type="http://schemas.openxmlformats.org/officeDocument/2006/relationships/hyperlink" Id="rId143" Target="https://doi.org/10.2196/31877" TargetMode="External" /><Relationship Type="http://schemas.openxmlformats.org/officeDocument/2006/relationships/hyperlink" Id="rId211" Target="https://doi.org/10.2196/35159" TargetMode="External" /><Relationship Type="http://schemas.openxmlformats.org/officeDocument/2006/relationships/hyperlink" Id="rId247" Target="https://doi.org/10.2196/41833" TargetMode="External" /><Relationship Type="http://schemas.openxmlformats.org/officeDocument/2006/relationships/hyperlink" Id="rId239" Target="https://doi.org/10.3109/10826084.2014.891616" TargetMode="External" /><Relationship Type="http://schemas.openxmlformats.org/officeDocument/2006/relationships/hyperlink" Id="rId231" Target="https://doi.org/10.3233/SHTI190386" TargetMode="External" /><Relationship Type="http://schemas.openxmlformats.org/officeDocument/2006/relationships/hyperlink" Id="rId147" Target="https://doi.org/10.3389/fpsyt.2019.00344" TargetMode="External" /><Relationship Type="http://schemas.openxmlformats.org/officeDocument/2006/relationships/hyperlink" Id="rId233" Target="https://doi.org/10.3390/jcm9020322" TargetMode="External" /><Relationship Type="http://schemas.openxmlformats.org/officeDocument/2006/relationships/hyperlink" Id="rId194"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7" Target="https://jjcurtin.github.io/study_messages/notebooks/auROC_plot-preview.html#cell-fig-auroc" TargetMode="External" /><Relationship Type="http://schemas.openxmlformats.org/officeDocument/2006/relationships/hyperlink" Id="rId112" Target="https://jjcurtin.github.io/study_messages/notebooks/auROC_plot-preview.html#cell-fig-auroc_hist" TargetMode="External" /><Relationship Type="http://schemas.openxmlformats.org/officeDocument/2006/relationships/hyperlink" Id="rId117" Target="https://jjcurtin.github.io/study_messages/notebooks/auROC_plot-preview.html#cell-fig-auroc_posterior" TargetMode="External" /><Relationship Type="http://schemas.openxmlformats.org/officeDocument/2006/relationships/hyperlink" Id="rId58" Target="https://jjcurtin.github.io/study_messages/notebooks/eda_demographics-preview.html#cell-fig-demographics" TargetMode="External" /><Relationship Type="http://schemas.openxmlformats.org/officeDocument/2006/relationships/hyperlink" Id="rId101" Target="https://jjcurtin.github.io/study_messages/notebooks/eda_liwc-preview.html#cell-fig-liwc_cat_norm" TargetMode="External" /><Relationship Type="http://schemas.openxmlformats.org/officeDocument/2006/relationships/hyperlink" Id="rId96" Target="https://jjcurtin.github.io/study_messages/notebooks/eda_liwc-preview.html#cell-fig-liwc_cat_raw" TargetMode="External" /><Relationship Type="http://schemas.openxmlformats.org/officeDocument/2006/relationships/hyperlink" Id="rId88" Target="https://jjcurtin.github.io/study_messages/notebooks/eda_liwc-preview.html#cell-fig-liwc_ind" TargetMode="External" /><Relationship Type="http://schemas.openxmlformats.org/officeDocument/2006/relationships/hyperlink" Id="rId79" Target="https://jjcurtin.github.io/study_messages/notebooks/eda_messages-preview.html#cell-fig-1week" TargetMode="External" /><Relationship Type="http://schemas.openxmlformats.org/officeDocument/2006/relationships/hyperlink" Id="rId74" Target="https://jjcurtin.github.io/study_messages/notebooks/eda_messages-preview.html#cell-fig-3day" TargetMode="External" /><Relationship Type="http://schemas.openxmlformats.org/officeDocument/2006/relationships/hyperlink" Id="rId64" Target="https://jjcurtin.github.io/study_messages/notebooks/eda_messages-preview.html#cell-fig-lapse_count" TargetMode="External" /><Relationship Type="http://schemas.openxmlformats.org/officeDocument/2006/relationships/hyperlink" Id="rId69" Target="https://jjcurtin.github.io/study_messages/notebooks/eda_messages-preview.html#cell-fig-raw" TargetMode="External" /><Relationship Type="http://schemas.openxmlformats.org/officeDocument/2006/relationships/hyperlink" Id="rId123" Target="https://jjcurtin.github.io/study_messages/notebooks/fairness-preview.html#cell-fig-fairness" TargetMode="External" /><Relationship Type="http://schemas.openxmlformats.org/officeDocument/2006/relationships/hyperlink" Id="rId130" Target="https://jjcurtin.github.io/study_messages/notebooks/shaps-preview.html#cell-fig-shaps" TargetMode="External" /></Relationships>
</file>

<file path=word/_rels/footnotes.xml.rels><?xml version="1.0" encoding="UTF-8"?><Relationships xmlns="http://schemas.openxmlformats.org/package/2006/relationships"><Relationship Type="http://schemas.openxmlformats.org/officeDocument/2006/relationships/hyperlink" Id="rId167" Target="https://doi.org/10.1001/jamapsychiatry.2013.4642" TargetMode="External" /><Relationship Type="http://schemas.openxmlformats.org/officeDocument/2006/relationships/hyperlink" Id="rId179" Target="https://doi.org/10.1007/s00127-013-0740-9" TargetMode="External" /><Relationship Type="http://schemas.openxmlformats.org/officeDocument/2006/relationships/hyperlink" Id="rId241" Target="https://doi.org/10.1007/s11606-017-4202-z" TargetMode="External" /><Relationship Type="http://schemas.openxmlformats.org/officeDocument/2006/relationships/hyperlink" Id="rId133" Target="https://doi.org/10.1007/s13311-019-00814-4" TargetMode="External" /><Relationship Type="http://schemas.openxmlformats.org/officeDocument/2006/relationships/hyperlink" Id="rId149" Target="https://doi.org/10.1007/s40429-018-0192-0" TargetMode="External" /><Relationship Type="http://schemas.openxmlformats.org/officeDocument/2006/relationships/hyperlink" Id="rId145" Target="https://doi.org/10.1016/0306-4603(89)90060-9" TargetMode="External" /><Relationship Type="http://schemas.openxmlformats.org/officeDocument/2006/relationships/hyperlink" Id="rId175" Target="https://doi.org/10.1016/B978-0-323-90045-4.00005-8" TargetMode="External" /><Relationship Type="http://schemas.openxmlformats.org/officeDocument/2006/relationships/hyperlink" Id="rId141" Target="https://doi.org/10.1016/j.addbeh.2017.11.039" TargetMode="External" /><Relationship Type="http://schemas.openxmlformats.org/officeDocument/2006/relationships/hyperlink" Id="rId139" Target="https://doi.org/10.1016/j.addbeh.2018.11.008" TargetMode="External" /><Relationship Type="http://schemas.openxmlformats.org/officeDocument/2006/relationships/hyperlink" Id="rId171" Target="https://doi.org/10.1016/j.ajp.2016.08.003" TargetMode="External" /><Relationship Type="http://schemas.openxmlformats.org/officeDocument/2006/relationships/hyperlink" Id="rId229" Target="https://doi.org/10.1016/j.alcohol.2019.09.008" TargetMode="External" /><Relationship Type="http://schemas.openxmlformats.org/officeDocument/2006/relationships/hyperlink" Id="rId217" Target="https://doi.org/10.1016/j.amepre.2015.05.031" TargetMode="External" /><Relationship Type="http://schemas.openxmlformats.org/officeDocument/2006/relationships/hyperlink" Id="rId159" Target="https://doi.org/10.1016/j.comppsych.2015.05.010" TargetMode="External" /><Relationship Type="http://schemas.openxmlformats.org/officeDocument/2006/relationships/hyperlink" Id="rId198" Target="https://doi.org/10.1016/j.cpr.2005.11.002" TargetMode="External" /><Relationship Type="http://schemas.openxmlformats.org/officeDocument/2006/relationships/hyperlink" Id="rId153" Target="https://doi.org/10.1016/j.cpr.2005.11.004" TargetMode="External" /><Relationship Type="http://schemas.openxmlformats.org/officeDocument/2006/relationships/hyperlink" Id="rId245" Target="https://doi.org/10.1016/j.cpr.2007.01.002" TargetMode="External" /><Relationship Type="http://schemas.openxmlformats.org/officeDocument/2006/relationships/hyperlink" Id="rId189" Target="https://doi.org/10.1016/j.drugalcdep.2018.03.016" TargetMode="External" /><Relationship Type="http://schemas.openxmlformats.org/officeDocument/2006/relationships/hyperlink" Id="rId213" Target="https://doi.org/10.1016/j.jad.2020.05.067" TargetMode="External" /><Relationship Type="http://schemas.openxmlformats.org/officeDocument/2006/relationships/hyperlink" Id="rId221" Target="https://doi.org/10.1016/j.jsat.2004.09.006" TargetMode="External" /><Relationship Type="http://schemas.openxmlformats.org/officeDocument/2006/relationships/hyperlink" Id="rId151" Target="https://doi.org/10.1016/j.jsat.2013.08.004" TargetMode="External" /><Relationship Type="http://schemas.openxmlformats.org/officeDocument/2006/relationships/hyperlink" Id="rId235" Target="https://doi.org/10.1016/j.jsat.2016.12.013" TargetMode="External" /><Relationship Type="http://schemas.openxmlformats.org/officeDocument/2006/relationships/hyperlink" Id="rId155" Target="https://doi.org/10.1016/j.psychres.2018.06.031" TargetMode="External" /><Relationship Type="http://schemas.openxmlformats.org/officeDocument/2006/relationships/hyperlink" Id="rId169" Target="https://doi.org/10.1016/s0741-8329(98)00065-2" TargetMode="External" /><Relationship Type="http://schemas.openxmlformats.org/officeDocument/2006/relationships/hyperlink" Id="rId243" Target="https://doi.org/10.1037/0003-066X.59.4.224" TargetMode="External" /><Relationship Type="http://schemas.openxmlformats.org/officeDocument/2006/relationships/hyperlink" Id="rId249" Target="https://doi.org/10.1037/abn0000901" TargetMode="External" /><Relationship Type="http://schemas.openxmlformats.org/officeDocument/2006/relationships/hyperlink" Id="rId191" Target="https://doi.org/10.1046/j.1360-0443.91.12s1.15.x" TargetMode="External" /><Relationship Type="http://schemas.openxmlformats.org/officeDocument/2006/relationships/hyperlink" Id="rId186" Target="https://doi.org/10.1046/j.1360-0443.91.12s1.16.x" TargetMode="External" /><Relationship Type="http://schemas.openxmlformats.org/officeDocument/2006/relationships/hyperlink" Id="rId225" Target="https://doi.org/10.1046/j.1360-0443.91.12s1.20.x" TargetMode="External" /><Relationship Type="http://schemas.openxmlformats.org/officeDocument/2006/relationships/hyperlink" Id="rId177" Target="https://doi.org/10.1046/j.1360-0443.91.12s1.4.x" TargetMode="External" /><Relationship Type="http://schemas.openxmlformats.org/officeDocument/2006/relationships/hyperlink" Id="rId202" Target="https://doi.org/10.1046/j.1360-0443.91.12s1.6.x" TargetMode="External" /><Relationship Type="http://schemas.openxmlformats.org/officeDocument/2006/relationships/hyperlink" Id="rId157" Target="https://doi.org/10.1080/01612840.2016.1257076" TargetMode="External" /><Relationship Type="http://schemas.openxmlformats.org/officeDocument/2006/relationships/hyperlink" Id="rId135" Target="https://doi.org/10.1093/jamia/ocy166" TargetMode="External" /><Relationship Type="http://schemas.openxmlformats.org/officeDocument/2006/relationships/hyperlink" Id="rId209" Target="https://doi.org/10.1093/tbm/ibab048" TargetMode="External" /><Relationship Type="http://schemas.openxmlformats.org/officeDocument/2006/relationships/hyperlink" Id="rId165" Target="https://doi.org/10.1097/ADM.0000000000000918" TargetMode="External" /><Relationship Type="http://schemas.openxmlformats.org/officeDocument/2006/relationships/hyperlink" Id="rId223" Target="https://doi.org/10.1097/CLD.0000000000000026" TargetMode="External" /><Relationship Type="http://schemas.openxmlformats.org/officeDocument/2006/relationships/hyperlink" Id="rId184" Target="https://doi.org/10.1109/JAS.2023.123015" TargetMode="External" /><Relationship Type="http://schemas.openxmlformats.org/officeDocument/2006/relationships/hyperlink" Id="rId137" Target="https://doi.org/10.1109/iCCECOME.2018.8658578" TargetMode="External" /><Relationship Type="http://schemas.openxmlformats.org/officeDocument/2006/relationships/hyperlink" Id="rId163" Target="https://doi.org/10.1111/acer.13965" TargetMode="External" /><Relationship Type="http://schemas.openxmlformats.org/officeDocument/2006/relationships/hyperlink" Id="rId237" Target="https://doi.org/10.1111/acer.15222" TargetMode="External" /><Relationship Type="http://schemas.openxmlformats.org/officeDocument/2006/relationships/hyperlink" Id="rId200" Target="https://doi.org/10.1111/add.15771" TargetMode="External" /><Relationship Type="http://schemas.openxmlformats.org/officeDocument/2006/relationships/hyperlink" Id="rId173" Target="https://doi.org/10.1111/j.1475-6773.2006.00612.x" TargetMode="External" /><Relationship Type="http://schemas.openxmlformats.org/officeDocument/2006/relationships/hyperlink" Id="rId251" Target="https://doi.org/10.1111/jrh.12293" TargetMode="External" /><Relationship Type="http://schemas.openxmlformats.org/officeDocument/2006/relationships/hyperlink" Id="rId219" Target="https://doi.org/10.1176/appi.ps.201400160" TargetMode="External" /><Relationship Type="http://schemas.openxmlformats.org/officeDocument/2006/relationships/hyperlink" Id="rId227" Target="https://doi.org/10.1177/0261927X09351676" TargetMode="External" /><Relationship Type="http://schemas.openxmlformats.org/officeDocument/2006/relationships/hyperlink" Id="rId215" Target="https://doi.org/10.1186/s13011-015-0028-z" TargetMode="External" /><Relationship Type="http://schemas.openxmlformats.org/officeDocument/2006/relationships/hyperlink" Id="rId161" Target="https://doi.org/10.1186/s13690-023-01085-4" TargetMode="External" /><Relationship Type="http://schemas.openxmlformats.org/officeDocument/2006/relationships/hyperlink" Id="rId204" Target="https://doi.org/10.1186/s13722-023-00387-w" TargetMode="External" /><Relationship Type="http://schemas.openxmlformats.org/officeDocument/2006/relationships/hyperlink" Id="rId196" Target="https://doi.org/10.15288/jsa.1999.60.566" TargetMode="External" /><Relationship Type="http://schemas.openxmlformats.org/officeDocument/2006/relationships/hyperlink" Id="rId182" Target="https://doi.org/10.2196/17458" TargetMode="External" /><Relationship Type="http://schemas.openxmlformats.org/officeDocument/2006/relationships/hyperlink" Id="rId143" Target="https://doi.org/10.2196/31877" TargetMode="External" /><Relationship Type="http://schemas.openxmlformats.org/officeDocument/2006/relationships/hyperlink" Id="rId211" Target="https://doi.org/10.2196/35159" TargetMode="External" /><Relationship Type="http://schemas.openxmlformats.org/officeDocument/2006/relationships/hyperlink" Id="rId247" Target="https://doi.org/10.2196/41833" TargetMode="External" /><Relationship Type="http://schemas.openxmlformats.org/officeDocument/2006/relationships/hyperlink" Id="rId239" Target="https://doi.org/10.3109/10826084.2014.891616" TargetMode="External" /><Relationship Type="http://schemas.openxmlformats.org/officeDocument/2006/relationships/hyperlink" Id="rId231" Target="https://doi.org/10.3233/SHTI190386" TargetMode="External" /><Relationship Type="http://schemas.openxmlformats.org/officeDocument/2006/relationships/hyperlink" Id="rId147" Target="https://doi.org/10.3389/fpsyt.2019.00344" TargetMode="External" /><Relationship Type="http://schemas.openxmlformats.org/officeDocument/2006/relationships/hyperlink" Id="rId233" Target="https://doi.org/10.3390/jcm9020322" TargetMode="External" /><Relationship Type="http://schemas.openxmlformats.org/officeDocument/2006/relationships/hyperlink" Id="rId194"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7" Target="https://jjcurtin.github.io/study_messages/notebooks/auROC_plot-preview.html#cell-fig-auroc" TargetMode="External" /><Relationship Type="http://schemas.openxmlformats.org/officeDocument/2006/relationships/hyperlink" Id="rId112" Target="https://jjcurtin.github.io/study_messages/notebooks/auROC_plot-preview.html#cell-fig-auroc_hist" TargetMode="External" /><Relationship Type="http://schemas.openxmlformats.org/officeDocument/2006/relationships/hyperlink" Id="rId117" Target="https://jjcurtin.github.io/study_messages/notebooks/auROC_plot-preview.html#cell-fig-auroc_posterior" TargetMode="External" /><Relationship Type="http://schemas.openxmlformats.org/officeDocument/2006/relationships/hyperlink" Id="rId58" Target="https://jjcurtin.github.io/study_messages/notebooks/eda_demographics-preview.html#cell-fig-demographics" TargetMode="External" /><Relationship Type="http://schemas.openxmlformats.org/officeDocument/2006/relationships/hyperlink" Id="rId101" Target="https://jjcurtin.github.io/study_messages/notebooks/eda_liwc-preview.html#cell-fig-liwc_cat_norm" TargetMode="External" /><Relationship Type="http://schemas.openxmlformats.org/officeDocument/2006/relationships/hyperlink" Id="rId96" Target="https://jjcurtin.github.io/study_messages/notebooks/eda_liwc-preview.html#cell-fig-liwc_cat_raw" TargetMode="External" /><Relationship Type="http://schemas.openxmlformats.org/officeDocument/2006/relationships/hyperlink" Id="rId88" Target="https://jjcurtin.github.io/study_messages/notebooks/eda_liwc-preview.html#cell-fig-liwc_ind" TargetMode="External" /><Relationship Type="http://schemas.openxmlformats.org/officeDocument/2006/relationships/hyperlink" Id="rId79" Target="https://jjcurtin.github.io/study_messages/notebooks/eda_messages-preview.html#cell-fig-1week" TargetMode="External" /><Relationship Type="http://schemas.openxmlformats.org/officeDocument/2006/relationships/hyperlink" Id="rId74" Target="https://jjcurtin.github.io/study_messages/notebooks/eda_messages-preview.html#cell-fig-3day" TargetMode="External" /><Relationship Type="http://schemas.openxmlformats.org/officeDocument/2006/relationships/hyperlink" Id="rId64" Target="https://jjcurtin.github.io/study_messages/notebooks/eda_messages-preview.html#cell-fig-lapse_count" TargetMode="External" /><Relationship Type="http://schemas.openxmlformats.org/officeDocument/2006/relationships/hyperlink" Id="rId69" Target="https://jjcurtin.github.io/study_messages/notebooks/eda_messages-preview.html#cell-fig-raw" TargetMode="External" /><Relationship Type="http://schemas.openxmlformats.org/officeDocument/2006/relationships/hyperlink" Id="rId123" Target="https://jjcurtin.github.io/study_messages/notebooks/fairness-preview.html#cell-fig-fairness" TargetMode="External" /><Relationship Type="http://schemas.openxmlformats.org/officeDocument/2006/relationships/hyperlink" Id="rId130" Target="https://jjcurtin.github.io/study_messages/notebooks/shaps-preview.html#cell-fig-sh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SMS Messages to Predict Near Real-Time Alcohol Lapse in AUD Patients</dc:title>
  <dc:creator>Coco Yu; John J. Curtin</dc:creator>
  <cp:keywords/>
  <dcterms:created xsi:type="dcterms:W3CDTF">2024-10-21T05:53:24Z</dcterms:created>
  <dcterms:modified xsi:type="dcterms:W3CDTF">2024-10-21T05:53:24Z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messages.bib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date">
    <vt:lpwstr>2024-10-21</vt:lpwstr>
  </property>
  <property fmtid="{D5CDD505-2E9C-101B-9397-08002B2CF9AE}" pid="10" name="editor_option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bl-cap-location">
    <vt:lpwstr>bottom</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