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t>
      </w:r>
    </w:p>
    <w:p>
      <w:pPr>
        <w:pStyle w:val="Abstract"/>
      </w:pPr>
      <w:r>
        <w:t xml:space="preserve">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w:t>
      </w:r>
    </w:p>
    <w:p>
      <w:pPr>
        <w:pStyle w:val="Abstract"/>
      </w:pPr>
      <w:r>
        <w:t xml:space="preserve">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w:t>
      </w:r>
    </w:p>
    <w:p>
      <w:pPr>
        <w:pStyle w:val="Abstract"/>
      </w:pPr>
      <w:r>
        <w:t xml:space="preserve">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monitoring and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occurs within one’s social context.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like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important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their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of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the feature set each predictor belongs to, feature engineering procedures used, scoring epochs (for cellular communication features only), and the total number of features derived from the raw predictor. We had no missing data across baseline measures of demographics, alcohol use characteristics, and psychiatric and personality characteristics. If no cellular communication data were observed during a feature scoring epoch that feature was scored 0, thus there were also no missing data among cellular communication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from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exponential(2.3); intercept (centered predictors) ~ normal(0.62, 1.1); fixed effects ~ normal(0, 2.27); covariance ~ decov(1, 1, 1, 1). Random intercepts were included for repeat and fold (nested within repeat). We reported the median posterior auROC and 95% CI for each model. We also specified specified a single model contrast: full model vs. baseline model. auROCs were logit-transformed and regressed on model contrast to estimate the probability that model performances differed systematically.</w:t>
      </w:r>
    </w:p>
    <w:p>
      <w:pPr>
        <w:pStyle w:val="BodyText"/>
      </w:pPr>
      <w:r>
        <w:t xml:space="preserve">We refit our full model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 95% CI [0.64, 0.71]. The final model fit on the full data set retained 10 features (</w:t>
      </w:r>
      <w:hyperlink w:anchor="fig-1">
        <w:r>
          <w:rPr>
            <w:rStyle w:val="Hyperlink"/>
          </w:rPr>
          <w:t xml:space="preserve">Figure 1</w:t>
        </w:r>
      </w:hyperlink>
      <w:r>
        <w:t xml:space="preserve">). The top four features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Frequency of communications with drinkers, friends, and people unaware of the individual’s recovery goals, and number of unique contacts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[0.65, 0.72]).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95% CI [0.55, 0.62]. 100% of the posteriors were above 0.5 indicating strong evidence that this model is performing above chance performance (i.e., it is capturing some risk-relevant signal in the data). Four of the five cellular communication features retained in the full model were also retained in the cellular communication model. Number of unique contacts did not get retained in the cellular communication model, although it was retained in the full model with a very small coefficient. No new important features beyond those retained in the full model emerged in the cellular communication model.</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model.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[42]</w:t>
      </w:r>
      <w:r>
        <w:t xml:space="preserve"> </w:t>
      </w:r>
      <w:r>
        <w:t xml:space="preserve">and predict future</w:t>
      </w:r>
      <w:r>
        <w:t xml:space="preserve"> </w:t>
      </w:r>
      <w:r>
        <w:t xml:space="preserve">[43]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19" w:name="references"/>
    <w:p>
      <w:pPr>
        <w:pStyle w:val="Heading1"/>
      </w:pPr>
      <w:r>
        <w:t xml:space="preserve">References</w:t>
      </w:r>
    </w:p>
    <w:bookmarkStart w:id="118"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5" w:name="ref-baeDetectingDrinkingEpisodes2017"/>
    <w:p>
      <w:pPr>
        <w:pStyle w:val="Bibliography"/>
      </w:pPr>
      <w:r>
        <w:t xml:space="preserve">42.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4">
        <w:r>
          <w:rPr>
            <w:rStyle w:val="Hyperlink"/>
          </w:rPr>
          <w:t xml:space="preserve">10.1145/3090051</w:t>
        </w:r>
      </w:hyperlink>
    </w:p>
    <w:bookmarkEnd w:id="115"/>
    <w:bookmarkStart w:id="117" w:name="ref-baeLeveragingMobilePhone2023"/>
    <w:p>
      <w:pPr>
        <w:pStyle w:val="Bibliography"/>
      </w:pPr>
      <w:r>
        <w:t xml:space="preserve">43.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6">
        <w:r>
          <w:rPr>
            <w:rStyle w:val="Hyperlink"/>
          </w:rPr>
          <w:t xml:space="preserve">10.2196/39862</w:t>
        </w:r>
      </w:hyperlink>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2026-04-20T20:33:10Z</dcterms:created>
  <dcterms:modified xsi:type="dcterms:W3CDTF">2026-04-20T20:33:10Z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condition, and identifying periods of elevated lapse risk remains a major challenge in supporting recovery. An automated recovery monitoring and support system using personal sensing and machine learning may help detect when individuals are at heightened risk. Cellular communication sensing may be a promising approach for passively capturing risk-relevant information about social interactions, particularly when these data are contextualized with participant-specific meaning.We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0.62]).These findings demonstrate that cellular communication data capture some risk-relevant signal for alcohol lapse but do not provide incremental predictive value beyond baseline measures. Nevertheless, several communication features were retained in the full model with moderately sized coefficients, suggesting that aspects of social communication may still be clinically relevant for understanding lapse risk. However, limitations inherent to cellular communication sensing may outweigh its added utility in lapse prediction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