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2026-04-29</w:t>
      </w:r>
    </w:p>
    <w:p>
      <w:pPr>
        <w:pStyle w:val="AbstractTitle"/>
      </w:pPr>
      <w:r>
        <w:t xml:space="preserve">Abstract</w:t>
      </w:r>
    </w:p>
    <w:p>
      <w:pPr>
        <w:pStyle w:val="Abstract"/>
      </w:pPr>
      <w:r>
        <w:t xml:space="preserve">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t>
      </w:r>
    </w:p>
    <w:p>
      <w:pPr>
        <w:pStyle w:val="Abstract"/>
      </w:pPr>
      <w:r>
        <w:t xml:space="preserve">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w:t>
      </w:r>
    </w:p>
    <w:p>
      <w:pPr>
        <w:pStyle w:val="Abstract"/>
      </w:pPr>
      <w:r>
        <w:t xml:space="preserve">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w:t>
      </w:r>
    </w:p>
    <w:p>
      <w:pPr>
        <w:pStyle w:val="Abstract"/>
      </w:pPr>
      <w:r>
        <w:t xml:space="preserve">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monitoring and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occurs within one’s social context. A substantial body of literature demonstrates that social support and social network influences play a central role in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For example, the supportive and pro‑abstinent social environment of self‑help groups, like Alcoholics Anonymous, is thought to play a major role in their efficacy</w:t>
      </w:r>
      <w:r>
        <w:t xml:space="preserve"> </w:t>
      </w:r>
      <w:r>
        <w:t xml:space="preserve">[18,21–23]</w:t>
      </w:r>
      <w:r>
        <w:t xml:space="preserve">. Conversely, maintaining relationships with heavy drinkers or individuals unsupportive of recovery is associated with poorer outcomes</w:t>
      </w:r>
      <w:r>
        <w:t xml:space="preserve"> </w:t>
      </w:r>
      <w:r>
        <w:t xml:space="preserve">[24–26]</w:t>
      </w:r>
      <w:r>
        <w:t xml:space="preserve">. The buffering hypothesis further suggests that positive social relationships mitigate stress by providing resources that promote adaptive responses</w:t>
      </w:r>
      <w:r>
        <w:t xml:space="preserve"> </w:t>
      </w:r>
      <w:r>
        <w:t xml:space="preserve">[27,28]</w:t>
      </w:r>
      <w:r>
        <w:t xml:space="preserve">, a mechanism that likely extends to lapse risk given stress’s complex relationship with substance use</w:t>
      </w:r>
      <w:r>
        <w:t xml:space="preserve"> </w:t>
      </w:r>
      <w:r>
        <w:t xml:space="preserve">[29]</w:t>
      </w:r>
      <w:r>
        <w:t xml:space="preserve">.</w:t>
      </w:r>
    </w:p>
    <w:p>
      <w:pPr>
        <w:pStyle w:val="BodyText"/>
      </w:pPr>
      <w:r>
        <w:t xml:space="preserve">Importantly, these influences unfold over time through everyday social interactions. Because many social interactions occur over the phone, cellular communication logs provide a natural window into patterns of social engagement. Social relationships are inherently dynamic</w:t>
      </w:r>
      <w:r>
        <w:t xml:space="preserve"> </w:t>
      </w:r>
      <w:r>
        <w:t xml:space="preserve">[30–33]</w:t>
      </w:r>
      <w:r>
        <w:t xml:space="preserve">, and time-stamped communication data allow for the tracking of how these interactions fluctuate over time.</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important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In other words, how does this feature value differ from what is typical for this person? Difference features were scored by subtracting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their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of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the feature set each predictor belongs to, feature engineering procedures used, scoring epochs (for cellular communication features only), and the total number of features derived from the raw predictor. We had no missing data across baseline measures of demographics, alcohol use characteristics, and psychiatric and personality characteristics. If no cellular communication data were observed during a feature scoring epoch that feature was scored 0, thus there were also no missing data among cellular communication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from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exponential(2.3); intercept (centered predictors) ~ normal(0.62, 1.1); fixed effects ~ normal(0, 2.27); covariance ~ decov(1, 1, 1, 1). Random intercepts were included for repeat and fold (nested within repeat). We reported the median posterior auROC and 95% CI for each model. We also specified specified a single model contrast: full model vs. baseline model. auROCs were logit-transformed and regressed on model contrast to estimate the probability that model performances differed systematically.</w:t>
      </w:r>
    </w:p>
    <w:p>
      <w:pPr>
        <w:pStyle w:val="BodyText"/>
      </w:pPr>
      <w:r>
        <w:t xml:space="preserve">We refit our full model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all text messages and voice calls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final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0.674, 95% CI [0.639, 0.707]. The final model fit on the full data set retained 10 features (</w:t>
      </w:r>
      <w:hyperlink w:anchor="fig-1">
        <w:r>
          <w:rPr>
            <w:rStyle w:val="Hyperlink"/>
          </w:rPr>
          <w:t xml:space="preserve">Figure 1</w:t>
        </w:r>
      </w:hyperlink>
      <w:r>
        <w:t xml:space="preserve">). The top four features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Frequency of communications with drinkers, friends, and people unaware of the individual’s recovery goals, and number of unique contacts emerged as important risk factors. Frequency of communications with non-drinkers, conversely, was an important protective factor. All communication features retained in the full model were scored over a 1 week feature scoring epoch.</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0.687, 95% CI [0.653, 0.718]). However, the median difference in auROC was only 0.013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0.588, 95% CI [0.550, 0.624]. 100% of the sampled posteriors were above 0.5 indicating strong evidence that the model is performing above chance performance (i.e., it is capturing some risk-relevant signal in the data). Four of the five cellular communication features retained in the full model were also retained in the cellular communication model. Number of unique contacts did not get retained in the cellular communication model, although it was retained in the full model with a very small coefficient. No new important features beyond those retained in the full model emerged in the cellular communication model.</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4445000"/>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model.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full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 Only baseline features related to alcohol use characteristics were retained in the full model, reinforcing that self-reported alcohol-related and recovery constructs are strong predictors of future lapse risk</w:t>
      </w:r>
      <w:r>
        <w:t xml:space="preserve"> </w:t>
      </w:r>
      <w:r>
        <w:t xml:space="preserve">[4,5]</w:t>
      </w:r>
      <w:r>
        <w:t xml:space="preserve">.</w:t>
      </w:r>
    </w:p>
    <w:p>
      <w:pPr>
        <w:pStyle w:val="BodyText"/>
      </w:pPr>
      <w:r>
        <w:t xml:space="preserve">Cellular communication data on its own performed poorly for prediction (auROC = 0.67) However, it still performed above what we would expect from a model performing at chance, suggesting there may be some signal in these data. Additionally, several communication features were retained in the final model with moderately sized coefficients. These included communications with drinkers, non-drinkers, friends, and people unaware of the participant’s recovery goals. Number of unique contacts was also retained in the model, though with a much smaller coefficient. Given that cellular communication usage may vary widely across demographic characteristics, psychiatric states, personality profiles, and alcohol use severity, we were surprised to find that these features did not appear to substantially interact with the baseline self-report measures. The elastic net algorithm outperformed the tree-based models, suggesting the relationship between features are primarily additive as opposed to interactive.</w:t>
      </w:r>
    </w:p>
    <w:p>
      <w:pPr>
        <w:pStyle w:val="BodyText"/>
      </w:pPr>
      <w:r>
        <w:t xml:space="preserve">The finding that communications with drinkers increased lapse risk and communications with non-drinkers decreased lapse risk is consistent with prior literature</w:t>
      </w:r>
      <w:r>
        <w:t xml:space="preserve"> </w:t>
      </w:r>
      <w:r>
        <w:t xml:space="preserve">[19,20]</w:t>
      </w:r>
      <w:r>
        <w:t xml:space="preserve">. Individuals who surround themselves with people who drink (and who may have even drunk with the individual in the past) may be more likely to experience exposure to drinking-related cues and opportunities to drink. Conversely, communicating with non-drinkers may reflect a more supportive social environment that promotes recovery. Additionally, given that alcohol use is often a social activity, it is not unexpected that increased communication with friends increased lapse risk.</w:t>
      </w:r>
    </w:p>
    <w:p>
      <w:pPr>
        <w:pStyle w:val="BodyText"/>
      </w:pPr>
      <w:r>
        <w:t xml:space="preserve">We were surprised to find that communications with people who did not know about an individual’s recovery goals was also a risk factor. We expected it was more likely that communication with people supportive of recovery goals would emerge as a protective factor or that communication with people unsupportive of those goals would emerge as a risk factor. One possible explanation is that a lack of disclosure about being in recovery reflects low levels of trust, making it difficult to confide in others about something so personal. It could also reflect perceived or anticipated stigma, thereby capturing the other person’s beliefs or attitudes about substance use. Lastly, it could signal reduced access to recovery support, as individuals cannot provide support for goals they are unaware of. Future research could explore this finding further to better understand the mechanisms underlying this association.</w:t>
      </w:r>
    </w:p>
    <w:p>
      <w:pPr>
        <w:pStyle w:val="BodyText"/>
      </w:pPr>
      <w:r>
        <w:t xml:space="preserve">In contrast to the contextual features,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It may also be worthwhile to use scoring epochs longer than one week. Our final model retained only cellular communication feature scored over the one week feature scoring epoch. This is likely due to these longer epochs containing more data than the shorter 24 hour scoring epochs. Longer scoring epochs (e.g., two weeks or one month) would contain even more data and may better capture slow evolving risk-features, such as a gradually shrinking social circle. Both of these benefits could potentially improve model performance.</w:t>
      </w:r>
    </w:p>
    <w:p>
      <w:pPr>
        <w:pStyle w:val="BodyText"/>
      </w:pPr>
      <w:r>
        <w:t xml:space="preserve">However, even with improved data collection methods and longer scoring epochs, sparsity may remain a challenge. Some people may simply not communicate frequently with others and others use services (e.g., Snapchat) that automatically delete messages. We also cannot eliminate the possibility that our participants were purposefully deleting text messages and call logs that they did not want us to see. This may be especially relevant for text messages (e.g., where drinking plans were made). Although the focus of this study was on the metadata and context of cellular communications, text message content, nevertheless, was collected during the cellular communication log download as part of the larger aims of the parent project. This raises the possibility of missed opportunity for capturing risk-relevant signal due to non-random patterns of missing data (e.g., when data missingness systematically increases during periods of lapse).</w:t>
      </w:r>
    </w:p>
    <w:p>
      <w:pPr>
        <w:pStyle w:val="BodyText"/>
      </w:pPr>
      <w:r>
        <w:t xml:space="preserve">Our conclusions are limited by sample composition and size. Our participants were predominantly non-Hispanic White and all were from the Madison, Wisconsin area. We had poor representation of older adults (65+ years) which may have been due to our requirement that participants owned and used a smartphone. Smartphone ownership is generally high. As of 2025, roughly 91% of Americans own a smartphone, with at least 85% ownership across across gender, race/ethnicity, socioeconomic status, and geographic location subgroups</w:t>
      </w:r>
      <w:r>
        <w:t xml:space="preserve"> </w:t>
      </w:r>
      <w:r>
        <w:t xml:space="preserve">[42]</w:t>
      </w:r>
      <w:r>
        <w:t xml:space="preserve">. One exception to this pattern is with older adults. Ownership rates dip down to 78% among those age 65 years and older</w:t>
      </w:r>
      <w:r>
        <w:t xml:space="preserve"> </w:t>
      </w:r>
      <w:r>
        <w:t xml:space="preserve">[42]</w:t>
      </w:r>
      <w:r>
        <w:t xml:space="preserve">.</w:t>
      </w:r>
    </w:p>
    <w:p>
      <w:pPr>
        <w:pStyle w:val="BodyText"/>
      </w:pPr>
      <w:r>
        <w:t xml:space="preserve">In addition to a mostly homogeneous sample composition, our sample size was relatively small (</w:t>
      </w:r>
      <m:oMath>
        <m:r>
          <m:t>N</m:t>
        </m:r>
      </m:oMath>
      <w:r>
        <w:t xml:space="preserve">=144). Although the large number of observations (11,507 prediction windows across participants) was sufficient for training machine learning models with low bias and variance, model evaluation was conducted on a limited subset of new individuals. As a result, these estimates reflect expected performance on individuals similar in composition to those in our sample. Thus, findings may not generalize to more diverse populations or to individuals in different geographic contexts.</w:t>
      </w:r>
    </w:p>
    <w:p>
      <w:pPr>
        <w:pStyle w:val="BodyText"/>
      </w:pPr>
      <w:r>
        <w:t xml:space="preserve">We determined the presence of AUD using a self-report measure of DSM-5 symptoms, as opposed to a structured clinical interview. This may have had some impact on our threshold for establishing AUD. It is possible that some participants over-endorsed experiencing symptoms (e.g., endorsing symptoms that occur infrequently and do not reflect a pattern) and have milder forms of AUD than our target sample. However, they still likely have AUD given that only two symptoms are needed for an AUD diagnosis and we required four for eligibility. Furthermore, all participants were required to be pursuing abstinence, suggesting they perceive a problem with alcohol use.</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[43]</w:t>
      </w:r>
      <w:r>
        <w:t xml:space="preserve"> </w:t>
      </w:r>
      <w:r>
        <w:t xml:space="preserve">and predict future</w:t>
      </w:r>
      <w:r>
        <w:t xml:space="preserve"> </w:t>
      </w:r>
      <w:r>
        <w:t xml:space="preserve">[44]</w:t>
      </w:r>
      <w:r>
        <w:t xml:space="preserve"> </w:t>
      </w:r>
      <w:r>
        <w:t xml:space="preserve">heavy drinking episodes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20" w:name="references"/>
    <w:p>
      <w:pPr>
        <w:pStyle w:val="Heading1"/>
      </w:pPr>
      <w:r>
        <w:t xml:space="preserve">References</w:t>
      </w:r>
    </w:p>
    <w:bookmarkStart w:id="119"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grohSocialNetworkVariables2008"/>
    <w:p>
      <w:pPr>
        <w:pStyle w:val="Bibliography"/>
      </w:pPr>
      <w:r>
        <w:t xml:space="preserve">21.</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74">
        <w:r>
          <w:rPr>
            <w:rStyle w:val="Hyperlink"/>
          </w:rPr>
          <w:t xml:space="preserve">10/b86245</w:t>
        </w:r>
      </w:hyperlink>
    </w:p>
    <w:bookmarkEnd w:id="75"/>
    <w:bookmarkStart w:id="77" w:name="ref-woffServiceProvidersPerceptions1996"/>
    <w:p>
      <w:pPr>
        <w:pStyle w:val="Bibliography"/>
      </w:pPr>
      <w:r>
        <w:t xml:space="preserve">22.</w:t>
      </w:r>
      <w:r>
        <w:t xml:space="preserve"> </w:t>
      </w:r>
      <w:r>
        <w:t xml:space="preserve">	</w:t>
      </w:r>
      <w:r>
        <w:t xml:space="preserve">Woff I, Toumbourou J, Herlihy E, Hamilton M, Wales S. Service providers’ perceptions of substance use self-help groups. Substance Use &amp; Misuse. 1996;31: 1241–1258. doi:</w:t>
      </w:r>
      <w:hyperlink r:id="rId76">
        <w:r>
          <w:rPr>
            <w:rStyle w:val="Hyperlink"/>
          </w:rPr>
          <w:t xml:space="preserve">10.3109/10826089609063976</w:t>
        </w:r>
      </w:hyperlink>
    </w:p>
    <w:bookmarkEnd w:id="77"/>
    <w:bookmarkStart w:id="79" w:name="Xca677b9b728779665dfcfc54ba66f00f69a3908"/>
    <w:p>
      <w:pPr>
        <w:pStyle w:val="Bibliography"/>
      </w:pPr>
      <w:r>
        <w:t xml:space="preserve">23.</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78">
        <w:r>
          <w:rPr>
            <w:rStyle w:val="Hyperlink"/>
          </w:rPr>
          <w:t xml:space="preserve">10/cjrpbz</w:t>
        </w:r>
      </w:hyperlink>
    </w:p>
    <w:bookmarkEnd w:id="79"/>
    <w:bookmarkStart w:id="81" w:name="ref-alvarezSocialNetworkHeavy2021"/>
    <w:p>
      <w:pPr>
        <w:pStyle w:val="Bibliography"/>
      </w:pPr>
      <w:r>
        <w:t xml:space="preserve">24.</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80">
        <w:r>
          <w:rPr>
            <w:rStyle w:val="Hyperlink"/>
          </w:rPr>
          <w:t xml:space="preserve">10/ghqvdc</w:t>
        </w:r>
      </w:hyperlink>
    </w:p>
    <w:bookmarkEnd w:id="81"/>
    <w:bookmarkStart w:id="83" w:name="ref-gordonSocialNetworksRecovery1991"/>
    <w:p>
      <w:pPr>
        <w:pStyle w:val="Bibliography"/>
      </w:pPr>
      <w:r>
        <w:t xml:space="preserve">25.</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82">
        <w:r>
          <w:rPr>
            <w:rStyle w:val="Hyperlink"/>
          </w:rPr>
          <w:t xml:space="preserve">10/dg32sj</w:t>
        </w:r>
      </w:hyperlink>
    </w:p>
    <w:bookmarkEnd w:id="83"/>
    <w:bookmarkStart w:id="85" w:name="ref-mohrGettingGettingHigh2001"/>
    <w:p>
      <w:pPr>
        <w:pStyle w:val="Bibliography"/>
      </w:pPr>
      <w:r>
        <w:t xml:space="preserve">26.</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84">
        <w:r>
          <w:rPr>
            <w:rStyle w:val="Hyperlink"/>
          </w:rPr>
          <w:t xml:space="preserve">10/ghqvc3</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4" w:name="X6b0a2573c103b7c3d317f500c95e16aefc26ebb"/>
    <w:p>
      <w:pPr>
        <w:pStyle w:val="Bibliography"/>
      </w:pPr>
      <w:r>
        <w:t xml:space="preserve">42.</w:t>
      </w:r>
      <w:r>
        <w:t xml:space="preserve"> </w:t>
      </w:r>
      <w:r>
        <w:t xml:space="preserve">	</w:t>
      </w:r>
      <w:r>
        <w:t xml:space="preserve">Pew Research Center N.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Pew Research Center. 2025.</w:t>
      </w:r>
      <w:r>
        <w:t xml:space="preserve"> </w:t>
      </w:r>
    </w:p>
    <w:bookmarkEnd w:id="114"/>
    <w:bookmarkStart w:id="116" w:name="ref-baeDetectingDrinkingEpisodes2017"/>
    <w:p>
      <w:pPr>
        <w:pStyle w:val="Bibliography"/>
      </w:pPr>
      <w:r>
        <w:t xml:space="preserve">43.</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5">
        <w:r>
          <w:rPr>
            <w:rStyle w:val="Hyperlink"/>
          </w:rPr>
          <w:t xml:space="preserve">10.1145/3090051</w:t>
        </w:r>
      </w:hyperlink>
    </w:p>
    <w:bookmarkEnd w:id="116"/>
    <w:bookmarkStart w:id="118" w:name="ref-baeLeveragingMobilePhone2023"/>
    <w:p>
      <w:pPr>
        <w:pStyle w:val="Bibliography"/>
      </w:pPr>
      <w:r>
        <w:t xml:space="preserve">44.</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7">
        <w:r>
          <w:rPr>
            <w:rStyle w:val="Hyperlink"/>
          </w:rPr>
          <w:t xml:space="preserve">10.2196/39862</w:t>
        </w:r>
      </w:hyperlink>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5"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7"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5"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7"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2026-04-29T20:08:05Z</dcterms:created>
  <dcterms:modified xsi:type="dcterms:W3CDTF">2026-04-29T20:08:05Z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2026-04-29</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