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2026-01-18</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4"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at the time of the screening visit,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Pr>
          <w:vertAlign w:val="superscript"/>
        </w:rPr>
        <w:t xml:space="preserve">15</w:t>
      </w:r>
      <w:r>
        <w:t xml:space="preserve">, and presence of psychological symptoms</w:t>
      </w:r>
      <w:r>
        <w:rPr>
          <w:vertAlign w:val="superscript"/>
        </w:rPr>
        <w:t xml:space="preserve">14</w:t>
      </w:r>
      <w:r>
        <w:t xml:space="preserve">). At the intake visit, roughly two weeks after screening, we collected additional self-report data on abstinence self-efficacy</w:t>
      </w:r>
      <w:r>
        <w:rPr>
          <w:vertAlign w:val="superscript"/>
        </w:rPr>
        <w:t xml:space="preserve">16</w:t>
      </w:r>
      <w:r>
        <w:t xml:space="preserve">, craving</w:t>
      </w:r>
      <w:r>
        <w:rPr>
          <w:vertAlign w:val="superscript"/>
        </w:rPr>
        <w:t xml:space="preserve">17</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3" w:name="data-analysis-plan"/>
    <w:p>
      <w:pPr>
        <w:pStyle w:val="Heading2"/>
      </w:pPr>
      <w:r>
        <w:t xml:space="preserve">Data Analysis Plan</w:t>
      </w:r>
    </w:p>
    <w:bookmarkStart w:id="2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6"/>
    <w:bookmarkStart w:id="29"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collected at screening and intake visits.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type="pct" w:w="5000"/>
        <w:tblLayout w:type="fixed"/>
        <w:tblLook w:firstRow="0" w:lastRow="0" w:firstColumn="0" w:lastColumn="0" w:noHBand="0" w:noVBand="0" w:val="0000"/>
      </w:tblPr>
      <w:tblGrid>
        <w:gridCol w:w="7920"/>
      </w:tblGrid>
      <w:tr>
        <w:tc>
          <w:tcPr/>
          <w:bookmarkStart w:id="27"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Make All Tables for Main Manuscript</w:t>
        </w:r>
      </w:hyperlink>
    </w:p>
    <w:bookmarkEnd w:id="29"/>
    <w:bookmarkStart w:id="32"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30"/>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31">
        <w:r>
          <w:rPr>
            <w:rStyle w:val="Hyperlink"/>
          </w:rPr>
          <w:t xml:space="preserve">https://jjcurtin.github.io/study_messages/</w:t>
        </w:r>
      </w:hyperlink>
      <w:r>
        <w:t xml:space="preserve">).</w:t>
      </w:r>
    </w:p>
    <w:bookmarkEnd w:id="32"/>
    <w:bookmarkEnd w:id="33"/>
    <w:bookmarkEnd w:id="34"/>
    <w:bookmarkStart w:id="45" w:name="results"/>
    <w:p>
      <w:pPr>
        <w:pStyle w:val="Heading1"/>
      </w:pPr>
      <w:r>
        <w:t xml:space="preserve">Results</w:t>
      </w:r>
    </w:p>
    <w:bookmarkStart w:id="37" w:name="participants"/>
    <w:p>
      <w:pPr>
        <w:pStyle w:val="Heading2"/>
      </w:pPr>
      <w:r>
        <w:t xml:space="preserve">Participants</w:t>
      </w:r>
    </w:p>
    <w:p>
      <w:pPr>
        <w:pStyle w:val="FirstParagraph"/>
      </w:pPr>
      <w:r>
        <w:t xml:space="preserve">We screened 192 participants. Of these, 169 enrolled during the intake visit and 154 completed the first follow-up visit. Data from 1 participant was excluded due to drinking multiple times a day every day on study, suggesting they did not have a goal of abstinence.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5"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8"/>
    <w:bookmarkStart w:id="44"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End w:id="45"/>
    <w:bookmarkStart w:id="46"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18</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19</w:t>
      </w:r>
      <w:r>
        <w:t xml:space="preserve"> </w:t>
      </w:r>
      <w:r>
        <w:t xml:space="preserve">and predict future</w:t>
      </w:r>
      <w:r>
        <w:rPr>
          <w:vertAlign w:val="superscript"/>
        </w:rPr>
        <w:t xml:space="preserve">20</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6"/>
    <w:bookmarkStart w:id="4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7"/>
    <w:bookmarkStart w:id="48" w:name="acknowledgments"/>
    <w:p>
      <w:pPr>
        <w:pStyle w:val="Heading1"/>
      </w:pPr>
      <w:r>
        <w:t xml:space="preserve">Acknowledgments</w:t>
      </w:r>
    </w:p>
    <w:p>
      <w:pPr>
        <w:pStyle w:val="FirstParagraph"/>
      </w:pPr>
      <w:r>
        <w:t xml:space="preserve">The authors wish to thank Susan E. Wanta for her role as the project administrator.</w:t>
      </w:r>
    </w:p>
    <w:bookmarkEnd w:id="48"/>
    <w:bookmarkStart w:id="55" w:name="statements-and-declarations"/>
    <w:p>
      <w:pPr>
        <w:pStyle w:val="Heading1"/>
      </w:pPr>
      <w:r>
        <w:t xml:space="preserve">Statements and Declarations</w:t>
      </w:r>
    </w:p>
    <w:bookmarkStart w:id="49"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49"/>
    <w:bookmarkStart w:id="50" w:name="consent-to-participate"/>
    <w:p>
      <w:pPr>
        <w:pStyle w:val="Heading2"/>
      </w:pPr>
      <w:r>
        <w:t xml:space="preserve">Consent to Participate</w:t>
      </w:r>
    </w:p>
    <w:p>
      <w:pPr>
        <w:pStyle w:val="FirstParagraph"/>
      </w:pPr>
      <w:r>
        <w:t xml:space="preserve">All participants provided written informed consent.</w:t>
      </w:r>
    </w:p>
    <w:bookmarkEnd w:id="50"/>
    <w:bookmarkStart w:id="51" w:name="consent-for-publication"/>
    <w:p>
      <w:pPr>
        <w:pStyle w:val="Heading2"/>
      </w:pPr>
      <w:r>
        <w:t xml:space="preserve">Consent for Publication</w:t>
      </w:r>
    </w:p>
    <w:p>
      <w:pPr>
        <w:pStyle w:val="FirstParagraph"/>
      </w:pPr>
      <w:r>
        <w:t xml:space="preserve">Not applicable.</w:t>
      </w:r>
    </w:p>
    <w:bookmarkEnd w:id="51"/>
    <w:bookmarkStart w:id="52"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2"/>
    <w:bookmarkStart w:id="53"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3"/>
    <w:bookmarkStart w:id="54"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4">
        <w:r>
          <w:rPr>
            <w:rStyle w:val="Hyperlink"/>
          </w:rPr>
          <w:t xml:space="preserve">https://osf.io/wgpz9/</w:t>
        </w:r>
      </w:hyperlink>
      <w:r>
        <w:t xml:space="preserve">).</w:t>
      </w:r>
    </w:p>
    <w:p>
      <w:r>
        <w:br w:type="page"/>
      </w:r>
    </w:p>
    <w:bookmarkEnd w:id="54"/>
    <w:bookmarkEnd w:id="55"/>
    <w:bookmarkStart w:id="91" w:name="references"/>
    <w:p>
      <w:pPr>
        <w:pStyle w:val="Heading1"/>
      </w:pPr>
      <w:r>
        <w:t xml:space="preserve">References</w:t>
      </w:r>
    </w:p>
    <w:bookmarkStart w:id="90" w:name="refs"/>
    <w:bookmarkStart w:id="57" w:name="ref-mclellanDrugDependenceChronic2000"/>
    <w:p>
      <w:pPr>
        <w:pStyle w:val="Bibliography"/>
      </w:pPr>
      <w:r>
        <w:t xml:space="preserve">1.</w:t>
      </w:r>
      <w:r>
        <w:t xml:space="preserve"> </w:t>
      </w:r>
      <w:r>
        <w:t xml:space="preserve">	</w:t>
      </w:r>
      <w:r>
        <w:t xml:space="preserve">McLellan AT, Lewis DC, O’Brien CP, et al.</w:t>
      </w:r>
      <w:r>
        <w:t xml:space="preserve"> </w:t>
      </w:r>
      <w:hyperlink r:id="rId56">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7"/>
    <w:bookmarkStart w:id="59" w:name="ref-dennisManagingAddictionChronic2007"/>
    <w:p>
      <w:pPr>
        <w:pStyle w:val="Bibliography"/>
      </w:pPr>
      <w:r>
        <w:t xml:space="preserve">2.</w:t>
      </w:r>
      <w:r>
        <w:t xml:space="preserve"> </w:t>
      </w:r>
      <w:r>
        <w:t xml:space="preserve">	</w:t>
      </w:r>
      <w:r>
        <w:t xml:space="preserve">Dennis M, Scott CK.</w:t>
      </w:r>
      <w:r>
        <w:t xml:space="preserve"> </w:t>
      </w:r>
      <w:hyperlink r:id="rId58">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59"/>
    <w:bookmarkStart w:id="60"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0"/>
    <w:bookmarkStart w:id="61"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1"/>
    <w:bookmarkStart w:id="62"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2"/>
    <w:bookmarkStart w:id="64" w:name="ref-daleyReducingRiskRelapse2019"/>
    <w:p>
      <w:pPr>
        <w:pStyle w:val="Bibliography"/>
      </w:pPr>
      <w:r>
        <w:t xml:space="preserve">6.</w:t>
      </w:r>
      <w:r>
        <w:t xml:space="preserve"> </w:t>
      </w:r>
      <w:r>
        <w:t xml:space="preserve">	</w:t>
      </w:r>
      <w:r>
        <w:t xml:space="preserve">Daley DC, Douaihy A.</w:t>
      </w:r>
      <w:r>
        <w:t xml:space="preserve"> </w:t>
      </w:r>
      <w:hyperlink r:id="rId63">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4"/>
    <w:bookmarkStart w:id="66"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5">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6"/>
    <w:bookmarkStart w:id="68" w:name="ref-mohrPersonalSensingUnderstanding2017"/>
    <w:p>
      <w:pPr>
        <w:pStyle w:val="Bibliography"/>
      </w:pPr>
      <w:r>
        <w:t xml:space="preserve">8.</w:t>
      </w:r>
      <w:r>
        <w:t xml:space="preserve"> </w:t>
      </w:r>
      <w:r>
        <w:t xml:space="preserve">	</w:t>
      </w:r>
      <w:r>
        <w:t xml:space="preserve">Mohr DC, Zhang M, Schueller SM.</w:t>
      </w:r>
      <w:r>
        <w:t xml:space="preserve"> </w:t>
      </w:r>
      <w:hyperlink r:id="rId67">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8"/>
    <w:bookmarkStart w:id="70" w:name="ref-chihPredictiveModelingAddiction2014"/>
    <w:p>
      <w:pPr>
        <w:pStyle w:val="Bibliography"/>
      </w:pPr>
      <w:r>
        <w:t xml:space="preserve">9.</w:t>
      </w:r>
      <w:r>
        <w:t xml:space="preserve"> </w:t>
      </w:r>
      <w:r>
        <w:t xml:space="preserve">	</w:t>
      </w:r>
      <w:r>
        <w:t xml:space="preserve">Chih M-Y, Patton T, McTavish FM, et al.</w:t>
      </w:r>
      <w:r>
        <w:t xml:space="preserve"> </w:t>
      </w:r>
      <w:hyperlink r:id="rId69">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0"/>
    <w:bookmarkStart w:id="72" w:name="ref-wyantMachineLearningModels2024"/>
    <w:p>
      <w:pPr>
        <w:pStyle w:val="Bibliography"/>
      </w:pPr>
      <w:r>
        <w:t xml:space="preserve">10.</w:t>
      </w:r>
      <w:r>
        <w:t xml:space="preserve"> </w:t>
      </w:r>
      <w:r>
        <w:t xml:space="preserve">	</w:t>
      </w:r>
      <w:r>
        <w:t xml:space="preserve">Wyant K, Sant’Ana SJ, Fronk GE, et al.</w:t>
      </w:r>
      <w:r>
        <w:t xml:space="preserve"> </w:t>
      </w:r>
      <w:hyperlink r:id="rId71">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2"/>
    <w:bookmarkStart w:id="73"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3"/>
    <w:bookmarkStart w:id="75"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4">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5"/>
    <w:bookmarkStart w:id="77"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6">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7"/>
    <w:bookmarkStart w:id="78" w:name="ref-derogatislBriefSymptomInventory"/>
    <w:p>
      <w:pPr>
        <w:pStyle w:val="Bibliography"/>
      </w:pPr>
      <w:r>
        <w:t xml:space="preserve">14.</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78"/>
    <w:bookmarkStart w:id="79" w:name="ref-hurlbutAssessingAlcoholProblems1992"/>
    <w:p>
      <w:pPr>
        <w:pStyle w:val="Bibliography"/>
      </w:pPr>
      <w:r>
        <w:t xml:space="preserve">15.</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79"/>
    <w:bookmarkStart w:id="81" w:name="Xcae8ce16b0973d3f8a23c89fe6ee90c012f333c"/>
    <w:p>
      <w:pPr>
        <w:pStyle w:val="Bibliography"/>
      </w:pPr>
      <w:r>
        <w:t xml:space="preserve">16.</w:t>
      </w:r>
      <w:r>
        <w:t xml:space="preserve"> </w:t>
      </w:r>
      <w:r>
        <w:t xml:space="preserve">	</w:t>
      </w:r>
      <w:r>
        <w:t xml:space="preserve">McKiernan P, Cloud R, Patterson DA, et al.</w:t>
      </w:r>
      <w:r>
        <w:t xml:space="preserve"> </w:t>
      </w:r>
      <w:hyperlink r:id="rId80">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1"/>
    <w:bookmarkStart w:id="83" w:name="X72fdb242290119aefa439c46cdcc18630f6c0fa"/>
    <w:p>
      <w:pPr>
        <w:pStyle w:val="Bibliography"/>
      </w:pPr>
      <w:r>
        <w:t xml:space="preserve">17.</w:t>
      </w:r>
      <w:r>
        <w:t xml:space="preserve"> </w:t>
      </w:r>
      <w:r>
        <w:t xml:space="preserve">	</w:t>
      </w:r>
      <w:r>
        <w:t xml:space="preserve">Flannery BA, Volpicelli JR, Pettinati HM.</w:t>
      </w:r>
      <w:r>
        <w:t xml:space="preserve"> </w:t>
      </w:r>
      <w:hyperlink r:id="rId82">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3"/>
    <w:bookmarkStart w:id="85" w:name="X948b064f539498125570f43a275c11fe3804a5f"/>
    <w:p>
      <w:pPr>
        <w:pStyle w:val="Bibliography"/>
      </w:pPr>
      <w:r>
        <w:t xml:space="preserve">18.</w:t>
      </w:r>
      <w:r>
        <w:t xml:space="preserve"> </w:t>
      </w:r>
      <w:r>
        <w:t xml:space="preserve">	</w:t>
      </w:r>
      <w:r>
        <w:t xml:space="preserve">McDowell B, Dumais KM, Gary ST, et al.</w:t>
      </w:r>
      <w:r>
        <w:t xml:space="preserve"> </w:t>
      </w:r>
      <w:hyperlink r:id="rId84">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5"/>
    <w:bookmarkStart w:id="87" w:name="ref-baeDetectingDrinkingEpisodes2017"/>
    <w:p>
      <w:pPr>
        <w:pStyle w:val="Bibliography"/>
      </w:pPr>
      <w:r>
        <w:t xml:space="preserve">19.</w:t>
      </w:r>
      <w:r>
        <w:t xml:space="preserve"> </w:t>
      </w:r>
      <w:r>
        <w:t xml:space="preserve">	</w:t>
      </w:r>
      <w:r>
        <w:t xml:space="preserve">Bae S, Ferreira D, Suffoletto B, et al.</w:t>
      </w:r>
      <w:r>
        <w:t xml:space="preserve"> </w:t>
      </w:r>
      <w:hyperlink r:id="rId86">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87"/>
    <w:bookmarkStart w:id="89" w:name="ref-baeLeveragingMobilePhone2023"/>
    <w:p>
      <w:pPr>
        <w:pStyle w:val="Bibliography"/>
      </w:pPr>
      <w:r>
        <w:t xml:space="preserve">20.</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88">
        <w:r>
          <w:rPr>
            <w:rStyle w:val="Hyperlink"/>
          </w:rPr>
          <w:t xml:space="preserve">10.2196/39862</w:t>
        </w:r>
      </w:hyperlink>
      <w:r>
        <w:t xml:space="preserve">.</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14</w:t>
      </w:r>
      <w:r>
        <w:t xml:space="preserve">.</w:t>
      </w:r>
    </w:p>
  </w:footnote>
  <w:footnote w:id="30">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31"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28"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Precision Medicine, Machine learning, Digital Phenotyping, Relapse Prevention</cp:keywords>
  <dcterms:created xsi:type="dcterms:W3CDTF">2026-01-18T13:45:51Z</dcterms:created>
  <dcterms:modified xsi:type="dcterms:W3CDTF">2026-01-18T13:45:51Z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