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2025-12-26</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t xml:space="preserve"> </w:t>
      </w:r>
      <w:r>
        <w:t xml:space="preserve">(Dennis &amp; Scott, 2007; McLellan et al., 2000; Rounsaville, 2010)</w:t>
      </w:r>
      <w:r>
        <w:t xml:space="preserve">. Lapses, single episodes of alcohol use, are among the strongest predictors (and a necessary precursor) for relapse, a full return to harmful drinking</w:t>
      </w:r>
      <w:r>
        <w:t xml:space="preserve"> </w:t>
      </w:r>
      <w:r>
        <w:t xml:space="preserve">(</w:t>
      </w:r>
      <w:r>
        <w:rPr>
          <w:b/>
          <w:bCs/>
        </w:rPr>
        <w:t xml:space="preserve">marlattRelapsePreventionMaintenance1985?</w:t>
      </w:r>
      <w:r>
        <w:t xml:space="preserve">;</w:t>
      </w:r>
      <w:r>
        <w:t xml:space="preserve"> </w:t>
      </w:r>
      <w:r>
        <w:rPr>
          <w:b/>
          <w:bCs/>
        </w:rPr>
        <w:t xml:space="preserve">marlattRelapsePreventionSecond2007?</w:t>
      </w:r>
      <w:r>
        <w:t xml:space="preserve">)</w:t>
      </w:r>
      <w:r>
        <w:t xml:space="preserve">. While lapses can occur at any point in recovery, they are particularly risky during early recovery</w:t>
      </w:r>
      <w:r>
        <w:t xml:space="preserve"> </w:t>
      </w:r>
      <w:r>
        <w:t xml:space="preserve">(</w:t>
      </w:r>
      <w:r>
        <w:rPr>
          <w:b/>
          <w:bCs/>
        </w:rPr>
        <w:t xml:space="preserve">daleyReducingRiskRelapse2019?</w:t>
      </w:r>
      <w:r>
        <w:t xml:space="preserve">)</w:t>
      </w:r>
      <w:r>
        <w:t xml:space="preserve">. Protective coping mechanisms and socio-environmental resources that support recovery are dynamic and accumulate over time</w:t>
      </w:r>
      <w:r>
        <w:t xml:space="preserve"> </w:t>
      </w:r>
      <w:r>
        <w:t xml:space="preserve">(</w:t>
      </w:r>
      <w:r>
        <w:rPr>
          <w:b/>
          <w:bCs/>
        </w:rPr>
        <w:t xml:space="preserve">clevelandRecoveryRecoveryCapital2021?</w:t>
      </w:r>
      <w:r>
        <w:t xml:space="preserve">)</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(Mohr et al., 2017)</w:t>
      </w:r>
      <w:r>
        <w:t xml:space="preserve">. Early machine learning models using ecological momentary assessment data have achieved excellent accuracy</w:t>
      </w:r>
      <w:r>
        <w:t xml:space="preserve"> </w:t>
      </w:r>
      <w:r>
        <w:t xml:space="preserve">(Chih et al., 2014; Wyant et al., 2024, under review)</w:t>
      </w:r>
      <w:r>
        <w:t xml:space="preserve">. Still, questions remain about the long-term feasibility of self-report sensing methods and whether new, important risk factors might emerge from sensing methods that passively collect smartphone data without user input.</w:t>
      </w:r>
    </w:p>
    <w:p>
      <w:pPr>
        <w:pStyle w:val="BodyText"/>
      </w:pPr>
      <w:r>
        <w:t xml:space="preserve">Cellular communication sensing may be one promising method. It offers the potential for greater temporal specificity in capturing fluctuations in risk compared with self-report data (e.g., as they occur vs. prompting users to make reports the next day). Late night phonecalls could indicate an emergency,</w:t>
      </w:r>
      <w:r>
        <w:t xml:space="preserve"> </w:t>
      </w:r>
      <w:r>
        <w:t xml:space="preserve">“drunk dialing”</w:t>
      </w:r>
      <w:r>
        <w:t xml:space="preserve">, or other risk-relevant interactions. Cellular communications can also capture risk-relevant constructs more difficult for people to self report. A change in the number of unique contacts someone is interacting with could indicate an expanding or shrinking social circle.</w:t>
      </w:r>
    </w:p>
    <w:p>
      <w:pPr>
        <w:pStyle w:val="BodyText"/>
      </w:pPr>
      <w:r>
        <w:t xml:space="preserve">These passive data may become even more powerful when communications are contextualized with personal meaning for a given participant (e.g., Who is this contact to them? What is a typical interaction with them like?). In the above examples, contextualized communication data might reveal that the late-night phone call was to a sponsor, or that the shrinking social circle was due to reduced contact with people who are unsupportive of their recovery.</w:t>
      </w:r>
    </w:p>
    <w:p>
      <w:pPr>
        <w:pStyle w:val="BodyText"/>
      </w:pPr>
      <w:r>
        <w:t xml:space="preserve">In this study, we evaluated the performance of a machine learning model that predicts the probability of a next-day alcohol lapse amobg individuals in early recovery from alcohol use disorder using contextualized cellular communication data. We also describe the most important features contributing to these predictions, with the goal of identifying new, clinically meaningful features emerging from communication-based sensing.</w:t>
      </w:r>
    </w:p>
    <w:bookmarkEnd w:id="21"/>
    <w:bookmarkStart w:id="33"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been abstinent from alcohol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collected demographic information (age, sex at birth, race, ethnicity, education, marital status, employment, and income) and clinical characteristics (DSM-5 AUD symptom count, alcohol problems</w:t>
      </w:r>
      <w:r>
        <w:t xml:space="preserve"> </w:t>
      </w:r>
      <w:r>
        <w:t xml:space="preserve">(Hurlbut &amp; Sher, 1992)</w:t>
      </w:r>
      <w:r>
        <w:t xml:space="preserve">, and presence of psychological symptoms</w:t>
      </w:r>
      <w:r>
        <w:t xml:space="preserve"> </w:t>
      </w:r>
      <w:r>
        <w:t xml:space="preserve">(Derogatis, L.R., 2000)</w:t>
      </w:r>
      <w:r>
        <w:t xml:space="preserve">). At intake we collected additional self-report data on abstinence self-efficacy</w:t>
      </w:r>
      <w:r>
        <w:t xml:space="preserve"> </w:t>
      </w:r>
      <w:r>
        <w:t xml:space="preserve">(McKiernan et al., 2011)</w:t>
      </w:r>
      <w:r>
        <w:t xml:space="preserve">, craving</w:t>
      </w:r>
      <w:r>
        <w:t xml:space="preserve"> </w:t>
      </w:r>
      <w:r>
        <w:t xml:space="preserve">(Flannery et al., 1999)</w:t>
      </w:r>
      <w:r>
        <w:t xml:space="preserve">, and recent recovery efforts. At each monthly follow-up, we downloaded cellular communication metadata (voice calls and SMS text message logs) from participants’ smartphones. We identified important contacts (i.e., individuals they had communicated with at least twice by call or text in the past month) and asked 7 contextual questions about these contacts.</w:t>
      </w:r>
    </w:p>
    <w:p>
      <w:pPr>
        <w:pStyle w:val="BodyText"/>
      </w:pPr>
      <w:r>
        <w:t xml:space="preserve">While enrolled, participants completed 4 brief daily ecological momentary assessments (7-10 questions). The first item assessed alcohol use (date and time of any unreported drinking episodes). Lapse reports were verified at follow-up visits using a timeline follow-back interview.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p>
      <w:pPr>
        <w:pStyle w:val="BodyText"/>
      </w:pPr>
      <w:r>
        <w:t xml:space="preserve">We screened 192 participants. Of these, 169 enrolled and 154 completed the first follow-up. Data from 10 participants were excluded due to loss of abstinence goals, careless responding, or unusually low compliance. The final analytic sample included 144 participants.</w:t>
      </w:r>
    </w:p>
    <w:bookmarkEnd w:id="25"/>
    <w:bookmarkStart w:id="31" w:name="data-analysis-plan"/>
    <w:p>
      <w:pPr>
        <w:pStyle w:val="Heading2"/>
      </w:pPr>
      <w:r>
        <w:t xml:space="preserve">Data Analysis Plan</w:t>
      </w:r>
    </w:p>
    <w:p>
      <w:pPr>
        <w:pStyle w:val="FirstParagraph"/>
      </w:pPr>
      <w:r>
        <w:t xml:space="preserve">Our models predicted the probability of an alcohol lapse within a 24-hour window. Predictions were generated daily at 4 a.m., beginning on participants’ second study day and continuing for up to 3 months. In total, there were 11,507 labeled prediction windows across all participants.</w:t>
      </w:r>
    </w:p>
    <w:p>
      <w:pPr>
        <w:pStyle w:val="BodyText"/>
      </w:pPr>
      <w:r>
        <w:t xml:space="preserve">Features were engineered from all available data up to the start of each window.</w:t>
      </w:r>
      <w:r>
        <w:rPr>
          <w:rStyle w:val="FootnoteReference"/>
        </w:rPr>
        <w:footnoteReference w:id="26"/>
      </w:r>
      <w:r>
        <w:t xml:space="preserve"> </w:t>
      </w:r>
      <w:r>
        <w:t xml:space="preserve">The full model included 406 features from cellular communication data plus 24 features from baseline self-report measures.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and feature engineering procedures.</w:t>
      </w:r>
    </w:p>
    <w:p>
      <w:pPr>
        <w:pStyle w:val="BodyText"/>
      </w:pPr>
      <w:r>
        <w:t xml:space="preserve">Candidate model configurations differed by algorithm (elastic net, random forest, XGBoost), outcome resampling method, and hyperparameter values. The best configuration for each model was selected using 6 repeats of participant-grouped 5-fold cross-validation. Our performance metric was area under the receiver operating curve (auROC). Folds were stratified by a between-subject measure of our outcome (low lapsers: 0-9 lapses; high lapsers: 10+ lapses).</w:t>
      </w:r>
    </w:p>
    <w:p>
      <w:pPr>
        <w:pStyle w:val="BodyText"/>
      </w:pPr>
      <w:r>
        <w:t xml:space="preserve">We evaluated model performance with a Bayesian hierarchical generalized linear model. Posterior distributions with 95% credible intervals (CI) were estimated from the 30 held-out test sets using weakly informative, data-dependent priors to regularize and reduce overfitting.</w:t>
      </w:r>
      <w:r>
        <w:rPr>
          <w:rStyle w:val="FootnoteReference"/>
        </w:rPr>
        <w:footnoteReference w:id="27"/>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28">
        <w:r>
          <w:rPr>
            <w:rStyle w:val="Hyperlink"/>
          </w:rPr>
          <w:t xml:space="preserve">https://jjcurtin.github.io/study_messages/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tbl-1"/>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bl>
          <w:p>
            <w:pPr>
              <w:jc w:val="center"/>
            </w:pPr>
            <w:pPr>
              <w:jc w:val="start"/>
              <w:spacing w:before="200"/>
              <w:pStyle w:val="ImageCaption"/>
            </w:pPr>
            <w:r>
              <w:t xml:space="preserve">Table 1: Feature Engineering of Raw Predictors</w:t>
            </w:r>
          </w:p>
          <w:bookmarkEnd w:id="29"/>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Make All Tables for Main Manuscript</w:t>
        </w:r>
      </w:hyperlink>
    </w:p>
    <w:bookmarkEnd w:id="31"/>
    <w:bookmarkStart w:id="32"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 All participants provided written informed consent.</w:t>
      </w:r>
    </w:p>
    <w:bookmarkEnd w:id="32"/>
    <w:bookmarkEnd w:id="33"/>
    <w:bookmarkStart w:id="43" w:name="results"/>
    <w:p>
      <w:pPr>
        <w:pStyle w:val="Heading1"/>
      </w:pPr>
      <w:r>
        <w:t xml:space="preserve">Results</w:t>
      </w:r>
    </w:p>
    <w:bookmarkStart w:id="36" w:name="participants"/>
    <w:p>
      <w:pPr>
        <w:pStyle w:val="Heading2"/>
      </w:pPr>
      <w:r>
        <w:t xml:space="preserve">Participants</w:t>
      </w:r>
    </w:p>
    <w:p>
      <w:pPr>
        <w:pStyle w:val="FirstParagraph"/>
      </w:pPr>
      <w:hyperlink w:anchor="tbl-2">
        <w:r>
          <w:rPr>
            <w:rStyle w:val="Hyperlink"/>
          </w:rPr>
          <w:t xml:space="preserve">Table 2</w:t>
        </w:r>
      </w:hyperlink>
      <w:r>
        <w:t xml:space="preserve"> </w:t>
      </w:r>
      <w:r>
        <w:t xml:space="preserve">provides the demographic characterization of our sample. We obtained a total of 375,912 contextualized communications across participants. Participants had, on average, 2,610 communications (range = 109-14,225). 56% of participants reported at least one lapse.</w:t>
      </w:r>
    </w:p>
    <w:tbl>
      <w:tblPr>
        <w:tblStyle w:val="Table"/>
        <w:tblW w:type="pct" w:w="5000"/>
        <w:tblLayout w:type="fixed"/>
        <w:tblLook w:firstRow="0" w:lastRow="0" w:firstColumn="0" w:lastColumn="0" w:noHBand="0" w:noVBand="0" w:val="0000"/>
      </w:tblPr>
      <w:tblGrid>
        <w:gridCol w:w="7920"/>
      </w:tblGrid>
      <w:tr>
        <w:tc>
          <w:tcPr/>
          <w:bookmarkStart w:id="34"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Demographics</w:t>
            </w:r>
          </w:p>
          <w:bookmarkEnd w:id="34"/>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All Tables for Main Manuscript</w:t>
        </w:r>
      </w:hyperlink>
    </w:p>
    <w:bookmarkEnd w:id="36"/>
    <w:bookmarkStart w:id="42"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their posterior distributions were meaningfully different.</w:t>
      </w:r>
    </w:p>
    <w:tbl>
      <w:tblPr>
        <w:tblStyle w:val="Table"/>
        <w:tblW w:type="pct" w:w="5000"/>
        <w:tblLayout w:type="fixed"/>
        <w:tblLook w:firstRow="0" w:lastRow="0" w:firstColumn="0" w:lastColumn="0" w:noHBand="0" w:noVBand="0" w:val="0000"/>
      </w:tblPr>
      <w:tblGrid>
        <w:gridCol w:w="7920"/>
      </w:tblGrid>
      <w:tr>
        <w:tc>
          <w:tcPr/>
          <w:bookmarkStart w:id="40" w:name="fig-1"/>
          <w:p>
            <w:pPr>
              <w:pStyle w:val="Compact"/>
              <w:jc w:val="center"/>
            </w:pPr>
            <w:r>
              <w:drawing>
                <wp:inline>
                  <wp:extent cx="5334000" cy="3810000"/>
                  <wp:effectExtent b="0" l="0" r="0" t="0"/>
                  <wp:docPr descr="" title="" id="38" name="Picture"/>
                  <a:graphic>
                    <a:graphicData uri="http://schemas.openxmlformats.org/drawingml/2006/picture">
                      <pic:pic>
                        <pic:nvPicPr>
                          <pic:cNvPr descr="index_files/figure-docx/notebooks-mak_figures-fig-1-output-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Figures for Main Manuscript</w:t>
        </w:r>
      </w:hyperlink>
    </w:p>
    <w:bookmarkEnd w:id="42"/>
    <w:bookmarkEnd w:id="43"/>
    <w:bookmarkStart w:id="69"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(McDowell et al., 2025)</w:t>
      </w:r>
      <w:r>
        <w:t xml:space="preserve">. Therefore, our dataset likely missed a substantial portion of participants’ communications. Future studies could explore whether data from these platforms yield stronger predictive signals.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predict alcohol use episodes</w:t>
      </w:r>
      <w:r>
        <w:t xml:space="preserve"> </w:t>
      </w:r>
      <w:r>
        <w:t xml:space="preserve">(S. Bae et al., 2017; S. W. Bae et al., 2023)</w:t>
      </w:r>
      <w:r>
        <w:t xml:space="preserve">. However, even in these instances, the contribution of cellular communications is questionable and other sensing methods like geolocation appear to be more promising. Other practical challenges for collecting call and text message data further limit the feasibility of this sensing method (e.g., Apple heavily restricts the collection of these data by apps in their app store). We conclude that other forms of social interaction characterization (e.g., engineering time spent with supportive contacts from geolocation data) are more worthwhile to pursue in future research.</w:t>
      </w:r>
    </w:p>
    <w:p>
      <w:r>
        <w:br w:type="page"/>
      </w:r>
    </w:p>
    <w:bookmarkStart w:id="68" w:name="refs"/>
    <w:bookmarkStart w:id="45"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44">
        <w:r>
          <w:rPr>
            <w:rStyle w:val="Hyperlink"/>
          </w:rPr>
          <w:t xml:space="preserve">https://doi.org/10.2196/39862</w:t>
        </w:r>
      </w:hyperlink>
    </w:p>
    <w:bookmarkEnd w:id="45"/>
    <w:bookmarkStart w:id="47" w:name="ref-baeDetectingDrinkingEpisodes2017"/>
    <w:p>
      <w:pPr>
        <w:pStyle w:val="Bibliography"/>
      </w:pPr>
      <w:r>
        <w:t xml:space="preserve">Bae, S., Ferreira, D., Suffoletto, B., Puyana, J. C., Kurtz, R., Chung, T., &amp; Dey, A. K. (2017). Detecting</w:t>
      </w:r>
      <w:r>
        <w:t xml:space="preserve"> </w:t>
      </w:r>
      <w:r>
        <w:t xml:space="preserve">Drinking Episodes</w:t>
      </w:r>
      <w:r>
        <w:t xml:space="preserve"> </w:t>
      </w:r>
      <w:r>
        <w:t xml:space="preserve">in</w:t>
      </w:r>
      <w:r>
        <w:t xml:space="preserve"> </w:t>
      </w:r>
      <w:r>
        <w:t xml:space="preserve">Young Adults Using Smartphone-based Sensors</w:t>
      </w:r>
      <w:r>
        <w:t xml:space="preserve">.</w:t>
      </w:r>
      <w:r>
        <w:t xml:space="preserve"> </w:t>
      </w:r>
      <w:r>
        <w:rPr>
          <w:i/>
          <w:iCs/>
        </w:rPr>
        <w:t xml:space="preserve">Proceedings of the ACM on Interactive, Mobile, Wearable and Ubiquitous Technologies</w:t>
      </w:r>
      <w:r>
        <w:t xml:space="preserve">,</w:t>
      </w:r>
      <w:r>
        <w:t xml:space="preserve"> </w:t>
      </w:r>
      <w:r>
        <w:rPr>
          <w:i/>
          <w:iCs/>
        </w:rPr>
        <w:t xml:space="preserve">1</w:t>
      </w:r>
      <w:r>
        <w:t xml:space="preserve">(2), 1–36.</w:t>
      </w:r>
      <w:r>
        <w:t xml:space="preserve"> </w:t>
      </w:r>
      <w:hyperlink r:id="rId46">
        <w:r>
          <w:rPr>
            <w:rStyle w:val="Hyperlink"/>
          </w:rPr>
          <w:t xml:space="preserve">https://doi.org/10.1145/3090051</w:t>
        </w:r>
      </w:hyperlink>
    </w:p>
    <w:bookmarkEnd w:id="47"/>
    <w:bookmarkStart w:id="49"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48">
        <w:r>
          <w:rPr>
            <w:rStyle w:val="Hyperlink"/>
          </w:rPr>
          <w:t xml:space="preserve">https://doi.org/10.1016/j.jsat.2013.08.004</w:t>
        </w:r>
      </w:hyperlink>
    </w:p>
    <w:bookmarkEnd w:id="49"/>
    <w:bookmarkStart w:id="51" w:name="ref-dennisManagingAddictionChronic2007"/>
    <w:p>
      <w:pPr>
        <w:pStyle w:val="Bibliography"/>
      </w:pPr>
      <w:r>
        <w:t xml:space="preserve">Dennis, M., &amp; Scott, C. K. (2007).</w:t>
      </w:r>
      <w:r>
        <w:t xml:space="preserve"> </w:t>
      </w:r>
      <w:hyperlink r:id="rId50">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51"/>
    <w:bookmarkStart w:id="52"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52"/>
    <w:bookmarkStart w:id="54" w:name="X72fdb242290119aefa439c46cdcc18630f6c0fa"/>
    <w:p>
      <w:pPr>
        <w:pStyle w:val="Bibliography"/>
      </w:pPr>
      <w:r>
        <w:t xml:space="preserve">Flannery, B. A., Volpicelli, J. R., &amp; Pettinati, H. M. (1999).</w:t>
      </w:r>
      <w:r>
        <w:t xml:space="preserve"> </w:t>
      </w:r>
      <w:hyperlink r:id="rId53">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w:t>
      </w:r>
      <w:r>
        <w:t xml:space="preserve"> </w:t>
      </w:r>
      <w:r>
        <w:rPr>
          <w:i/>
          <w:iCs/>
        </w:rPr>
        <w:t xml:space="preserve">23</w:t>
      </w:r>
      <w:r>
        <w:t xml:space="preserve">(8), 1289–1295.</w:t>
      </w:r>
    </w:p>
    <w:bookmarkEnd w:id="54"/>
    <w:bookmarkStart w:id="55" w:name="ref-hurlbutAssessingAlcoholProblems1992"/>
    <w:p>
      <w:pPr>
        <w:pStyle w:val="Bibliography"/>
      </w:pPr>
      <w:r>
        <w:t xml:space="preserve">Hurlbut, S. C., &amp; Sher, K. J. (1992). Assessing alcohol problems in college students.</w:t>
      </w:r>
      <w:r>
        <w:t xml:space="preserve"> </w:t>
      </w:r>
      <w:r>
        <w:rPr>
          <w:i/>
          <w:iCs/>
        </w:rPr>
        <w:t xml:space="preserve">Journal of American College Health.</w:t>
      </w:r>
      <w:r>
        <w:t xml:space="preserve">,</w:t>
      </w:r>
      <w:r>
        <w:t xml:space="preserve"> </w:t>
      </w:r>
      <w:r>
        <w:rPr>
          <w:i/>
          <w:iCs/>
        </w:rPr>
        <w:t xml:space="preserve">41</w:t>
      </w:r>
      <w:r>
        <w:t xml:space="preserve">(2), 49–58.</w:t>
      </w:r>
    </w:p>
    <w:bookmarkEnd w:id="55"/>
    <w:bookmarkStart w:id="57" w:name="X948b064f539498125570f43a275c11fe3804a5f"/>
    <w:p>
      <w:pPr>
        <w:pStyle w:val="Bibliography"/>
      </w:pPr>
      <w:r>
        <w:t xml:space="preserve">McDowell, B., Dumais, K. M., Gary, S. T., de Gooijer, I., &amp; Ward, T. (2025).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w:t>
      </w:r>
      <w:r>
        <w:t xml:space="preserve"> </w:t>
      </w:r>
      <w:r>
        <w:rPr>
          <w:i/>
          <w:iCs/>
        </w:rPr>
        <w:t xml:space="preserve">Patient Preference and Adherence</w:t>
      </w:r>
      <w:r>
        <w:t xml:space="preserve">,</w:t>
      </w:r>
      <w:r>
        <w:t xml:space="preserve"> </w:t>
      </w:r>
      <w:r>
        <w:rPr>
          <w:i/>
          <w:iCs/>
        </w:rPr>
        <w:t xml:space="preserve">19</w:t>
      </w:r>
      <w:r>
        <w:t xml:space="preserve">, 255–263.</w:t>
      </w:r>
      <w:r>
        <w:t xml:space="preserve"> </w:t>
      </w:r>
      <w:hyperlink r:id="rId56">
        <w:r>
          <w:rPr>
            <w:rStyle w:val="Hyperlink"/>
          </w:rPr>
          <w:t xml:space="preserve">https://doi.org/10.2147/PPA.S474535</w:t>
        </w:r>
      </w:hyperlink>
    </w:p>
    <w:bookmarkEnd w:id="57"/>
    <w:bookmarkStart w:id="59" w:name="Xcae8ce16b0973d3f8a23c89fe6ee90c012f333c"/>
    <w:p>
      <w:pPr>
        <w:pStyle w:val="Bibliography"/>
      </w:pPr>
      <w:r>
        <w:t xml:space="preserve">McKiernan, P., Cloud, R., Patterson, D. A., Wolf, S., Golder, S., &amp; Besel, K. (2011). Development of a</w:t>
      </w:r>
      <w:r>
        <w:t xml:space="preserve"> </w:t>
      </w:r>
      <w:r>
        <w:t xml:space="preserve">Brief Abstinence Self-Efficacy Measure</w:t>
      </w:r>
      <w:r>
        <w:t xml:space="preserve">.</w:t>
      </w:r>
      <w:r>
        <w:t xml:space="preserve"> </w:t>
      </w:r>
      <w:r>
        <w:rPr>
          <w:i/>
          <w:iCs/>
        </w:rPr>
        <w:t xml:space="preserve">Journal of Social Work Practice in the Addictions</w:t>
      </w:r>
      <w:r>
        <w:t xml:space="preserve">,</w:t>
      </w:r>
      <w:r>
        <w:t xml:space="preserve"> </w:t>
      </w:r>
      <w:r>
        <w:rPr>
          <w:i/>
          <w:iCs/>
        </w:rPr>
        <w:t xml:space="preserve">11</w:t>
      </w:r>
      <w:r>
        <w:t xml:space="preserve">(3), 245–253.</w:t>
      </w:r>
      <w:r>
        <w:t xml:space="preserve"> </w:t>
      </w:r>
      <w:hyperlink r:id="rId58">
        <w:r>
          <w:rPr>
            <w:rStyle w:val="Hyperlink"/>
          </w:rPr>
          <w:t xml:space="preserve">https://doi.org/10.1080/1533256X.2011.593445</w:t>
        </w:r>
      </w:hyperlink>
    </w:p>
    <w:bookmarkEnd w:id="59"/>
    <w:bookmarkStart w:id="61"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60">
        <w:r>
          <w:rPr>
            <w:rStyle w:val="Hyperlink"/>
          </w:rPr>
          <w:t xml:space="preserve">https://doi.org/10.1001/jama.284.13.1689</w:t>
        </w:r>
      </w:hyperlink>
    </w:p>
    <w:bookmarkEnd w:id="61"/>
    <w:bookmarkStart w:id="63"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62">
        <w:r>
          <w:rPr>
            <w:rStyle w:val="Hyperlink"/>
          </w:rPr>
          <w:t xml:space="preserve">https://doi.org/10.1146/annurev-clinpsy-032816-044949</w:t>
        </w:r>
      </w:hyperlink>
    </w:p>
    <w:bookmarkEnd w:id="63"/>
    <w:bookmarkStart w:id="64" w:name="ref-rounsavilleLapseRelapseChasing2010"/>
    <w:p>
      <w:pPr>
        <w:pStyle w:val="Bibliography"/>
      </w:pPr>
      <w:r>
        <w:t xml:space="preserve">Rounsaville, D. B. (2010).</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w:t>
      </w:r>
      <w:r>
        <w:t xml:space="preserve">[PhD thesis]. University of Maryland, Baltimore County.</w:t>
      </w:r>
    </w:p>
    <w:bookmarkEnd w:id="64"/>
    <w:bookmarkStart w:id="65"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65"/>
    <w:bookmarkStart w:id="67" w:name="ref-wyantMachineLearningModels2024"/>
    <w:p>
      <w:pPr>
        <w:pStyle w:val="Bibliography"/>
      </w:pPr>
      <w:r>
        <w:t xml:space="preserve">Wyant, K., Sant’Ana, S. J., Fronk, G. E., &amp; Curtin, J. J. (2024). Machine learning models for temporally precise lapse prediction in alcohol use disorder.</w:t>
      </w:r>
      <w:r>
        <w:t xml:space="preserve"> </w:t>
      </w:r>
      <w:r>
        <w:rPr>
          <w:i/>
          <w:iCs/>
        </w:rPr>
        <w:t xml:space="preserve">Journal of Psychopathology and Clinical Science</w:t>
      </w:r>
      <w:r>
        <w:t xml:space="preserve">,</w:t>
      </w:r>
      <w:r>
        <w:t xml:space="preserve"> </w:t>
      </w:r>
      <w:r>
        <w:rPr>
          <w:i/>
          <w:iCs/>
        </w:rPr>
        <w:t xml:space="preserve">133</w:t>
      </w:r>
      <w:r>
        <w:t xml:space="preserve">(7), 527–540.</w:t>
      </w:r>
      <w:r>
        <w:t xml:space="preserve"> </w:t>
      </w:r>
      <w:hyperlink r:id="rId66">
        <w:r>
          <w:rPr>
            <w:rStyle w:val="Hyperlink"/>
          </w:rPr>
          <w:t xml:space="preserve">https://doi.org/10.1037/abn0000901</w:t>
        </w:r>
      </w:hyperlink>
    </w:p>
    <w:bookmarkEnd w:id="67"/>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r>
        <w:t xml:space="preserve">.</w:t>
      </w:r>
    </w:p>
  </w:footnote>
  <w:footnote w:id="26">
    <w:p>
      <w:pPr>
        <w:pStyle w:val="FootnoteText"/>
      </w:pPr>
      <w:r>
        <w:rPr>
          <w:rStyle w:val="FootnoteReference"/>
        </w:rPr>
        <w:footnoteRef/>
      </w:r>
      <w:r>
        <w:t xml:space="preserve"> </w:t>
      </w:r>
      <w:r>
        <w:t xml:space="preserve">We filtered the data to include only communications with known context prior to feature engineering.</w:t>
      </w:r>
    </w:p>
  </w:footnote>
  <w:footnote w:id="27">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hyperlink" Id="rId60" Target="https://doi.org/10.1001/jama.284.13.1689" TargetMode="External" /><Relationship Type="http://schemas.openxmlformats.org/officeDocument/2006/relationships/hyperlink" Id="rId48" Target="https://doi.org/10.1016/j.jsat.2013.08.004" TargetMode="External" /><Relationship Type="http://schemas.openxmlformats.org/officeDocument/2006/relationships/hyperlink" Id="rId66" Target="https://doi.org/10.1037/abn0000901" TargetMode="External" /><Relationship Type="http://schemas.openxmlformats.org/officeDocument/2006/relationships/hyperlink" Id="rId58" Target="https://doi.org/10.1080/1533256X.2011.593445" TargetMode="External" /><Relationship Type="http://schemas.openxmlformats.org/officeDocument/2006/relationships/hyperlink" Id="rId46" Target="https://doi.org/10.1145/3090051" TargetMode="External" /><Relationship Type="http://schemas.openxmlformats.org/officeDocument/2006/relationships/hyperlink" Id="rId62" Target="https://doi.org/10.1146/annurev-clinpsy-032816-044949" TargetMode="External" /><Relationship Type="http://schemas.openxmlformats.org/officeDocument/2006/relationships/hyperlink" Id="rId56"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28"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30" Target="https://jjcurtin.github.io/study_messages/notebooks\mak_tables-preview.html#cell-tbl-1" TargetMode="External" /><Relationship Type="http://schemas.openxmlformats.org/officeDocument/2006/relationships/hyperlink" Id="rId35"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0" Target="https://www.ncbi.nlm.nih.gov/pmc/articles/PMC2797101" TargetMode="External" /><Relationship Type="http://schemas.openxmlformats.org/officeDocument/2006/relationships/hyperlink" Id="rId53"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1/jama.284.13.1689" TargetMode="External" /><Relationship Type="http://schemas.openxmlformats.org/officeDocument/2006/relationships/hyperlink" Id="rId48" Target="https://doi.org/10.1016/j.jsat.2013.08.004" TargetMode="External" /><Relationship Type="http://schemas.openxmlformats.org/officeDocument/2006/relationships/hyperlink" Id="rId66" Target="https://doi.org/10.1037/abn0000901" TargetMode="External" /><Relationship Type="http://schemas.openxmlformats.org/officeDocument/2006/relationships/hyperlink" Id="rId58" Target="https://doi.org/10.1080/1533256X.2011.593445" TargetMode="External" /><Relationship Type="http://schemas.openxmlformats.org/officeDocument/2006/relationships/hyperlink" Id="rId46" Target="https://doi.org/10.1145/3090051" TargetMode="External" /><Relationship Type="http://schemas.openxmlformats.org/officeDocument/2006/relationships/hyperlink" Id="rId62" Target="https://doi.org/10.1146/annurev-clinpsy-032816-044949" TargetMode="External" /><Relationship Type="http://schemas.openxmlformats.org/officeDocument/2006/relationships/hyperlink" Id="rId56"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28"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30" Target="https://jjcurtin.github.io/study_messages/notebooks\mak_tables-preview.html#cell-tbl-1" TargetMode="External" /><Relationship Type="http://schemas.openxmlformats.org/officeDocument/2006/relationships/hyperlink" Id="rId35"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0" Target="https://www.ncbi.nlm.nih.gov/pmc/articles/PMC2797101" TargetMode="External" /><Relationship Type="http://schemas.openxmlformats.org/officeDocument/2006/relationships/hyperlink" Id="rId53"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Machine learning, Cellular Sensing</cp:keywords>
  <dcterms:created xsi:type="dcterms:W3CDTF">2025-12-26T17:43:27Z</dcterms:created>
  <dcterms:modified xsi:type="dcterms:W3CDTF">2025-12-26T17:43:27Z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2025-12-26</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