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w:t>
      </w:r>
    </w:p>
    <w:p>
      <w:pPr>
        <w:pStyle w:val="BodyText"/>
      </w:pPr>
      <w:r>
        <w:t xml:space="preserve">Still, questions remain about the long-term feasibility of self-report sensing methods and whether new, important risk factors might emerge from sensing methods that passively collect smartphone data without user input.</w:t>
      </w:r>
      <w:r>
        <w:t xml:space="preserve"> </w:t>
      </w:r>
    </w:p>
    <w:p>
      <w:pPr>
        <w:pStyle w:val="BodyText"/>
      </w:pPr>
      <w:r>
        <w:t xml:space="preserve">Cellular communication sensing may be one promising method. It offers the potential for greater temporal specificity for capturing fluctuations in risk compared with self-report data (i.e., as it occurs vs. prompting users to make reports the next day</w:t>
      </w:r>
      <w:r>
        <w:t xml:space="preserve">). Late night phone calls could indicate an emergency,</w:t>
      </w:r>
      <w:r>
        <w:t xml:space="preserve"> </w:t>
      </w:r>
      <w:r>
        <w:t xml:space="preserve">“drunk dialing”</w:t>
      </w:r>
      <w:r>
        <w:t xml:space="preserve">, or interpersonal conflict. It can also capture risk-relevant constructs difficult for people to self report, such as slow changing social patterns. A decrease in the number of contacts someone is communicating with could indicate a shrinking social circle, isolation, or disengagement.</w:t>
      </w:r>
    </w:p>
    <w:p>
      <w:pPr>
        <w:pStyle w:val="BodyText"/>
      </w:pPr>
      <w:r>
        <w:t xml:space="preserve">These passive data may become more powerful still when communications are contextualized with personal meaning for a given participant (e.g., Who is this contact to them?). In the above examples, contextualized communication data might reveal that late-night phone calls are to a sponsor or that a shrinking social circle is due to reduced contact with people unsupportive of their recovery.</w:t>
      </w:r>
      <w:r>
        <w:t xml:space="preserve"> </w:t>
      </w:r>
    </w:p>
    <w:p>
      <w:pPr>
        <w:pStyle w:val="BodyText"/>
      </w:pPr>
      <w:r>
        <w:t xml:space="preserve">In this study, we evaluated the performance of a machine learning model that predicts the probability of a next-day alcohol lapse among individuals in early recovery from AUD using contextualized cellular communication data. We also describe the most important features contributing to these predictions, with the goal of identifying new, clinically meaningful features emerging from communication-based sensing.</w:t>
      </w:r>
      <w:r>
        <w:t xml:space="preserve"> </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our longest scoring epochs (72 and 168 hours), suggesting that with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w:t>
      </w:r>
      <w:r>
        <w:t xml:space="preserve"> </w:t>
      </w:r>
      <w:r>
        <w:t xml:space="preserve">and other sensing methods like geolocation appear to be more promising</w:t>
      </w:r>
      <w:r>
        <w:t xml:space="preserve"> </w:t>
      </w:r>
      <w:r>
        <w:t xml:space="preserve">. 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2026-01-11T20:36:45Z</dcterms:created>
  <dcterms:modified xsi:type="dcterms:W3CDTF">2026-01-11T20:36:45Z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