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2026-04-22</w:t>
      </w:r>
    </w:p>
    <w:p>
      <w:pPr>
        <w:pStyle w:val="AbstractTitle"/>
      </w:pPr>
      <w:r>
        <w:t xml:space="preserve">Abstract</w:t>
      </w:r>
    </w:p>
    <w:p>
      <w:pPr>
        <w:pStyle w:val="Abstract"/>
      </w:pPr>
      <w:r>
        <w:t xml:space="preserve">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t>
      </w:r>
    </w:p>
    <w:p>
      <w:pPr>
        <w:pStyle w:val="Abstract"/>
      </w:pPr>
      <w:r>
        <w:t xml:space="preserve">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w:t>
      </w:r>
    </w:p>
    <w:p>
      <w:pPr>
        <w:pStyle w:val="Abstract"/>
      </w:pPr>
      <w:r>
        <w:t xml:space="preserve">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w:t>
      </w:r>
    </w:p>
    <w:p>
      <w:pPr>
        <w:pStyle w:val="Abstract"/>
      </w:pPr>
      <w:r>
        <w:t xml:space="preserve">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of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Consequently, early recovery represents a critical window of vulnerability during which a lapse is more likely to escalate into relapse.</w:t>
      </w:r>
    </w:p>
    <w:p>
      <w:pPr>
        <w:pStyle w:val="BodyText"/>
      </w:pPr>
      <w:r>
        <w:t xml:space="preserve">Given the dynamic and context-dependent nature of lapse risk, there is a clear need for methods capable of identifying when and why an individual is at increased risk in real time. An automated recovery monitoring and support system powered by personal sensing and machine learning may assist with this inherently difficult task. Personal sensing of densely sampled data from individuals’ day-to-day lives can provide the inputs necessary for temporally dynamic lapse prediction</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EMA-based approaches, questions remain about the long-term feasibility of a self-report sensing method. EMA has been shown to be well tolerated among substance-using populations over relatively short periods</w:t>
      </w:r>
      <w:r>
        <w:t xml:space="preserve"> </w:t>
      </w:r>
      <w:r>
        <w:t xml:space="preserve">[12,13]</w:t>
      </w:r>
      <w:r>
        <w:t xml:space="preserve">. However, it is unclear whether individuals would be willing or able to adhere to intensive EMA protocols (e.g., four prompts per day) indefinitely. Moreover, EMA items are selected using domain expertise from decades of research on the self-report factors associated with lapse. It is possible, however, that additional lapse precipitants remain undiscovered due to small subtle changes in one’s environment, social circle, or lifestyle that cannot be easily detected via self-report.</w:t>
      </w:r>
    </w:p>
    <w:p>
      <w:pPr>
        <w:pStyle w:val="BodyText"/>
      </w:pPr>
      <w:r>
        <w:t xml:space="preserve">Cellular communication sensing may be a promising alternative or complement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Knowing a participant’s relationship to their contacts, whether they have previously drunk alcohol with a given contact, or whether that contact supports their recovery goals could fundamentally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This focus on contextualized communication is especially important because lapse occurs within one’s social context. A substantial body of literature demonstrates that social support and social network influences play a central role in drinking behavior and recovery outcomes</w:t>
      </w:r>
      <w:r>
        <w:t xml:space="preserve"> </w:t>
      </w:r>
      <w:r>
        <w:t xml:space="preserve">[14–16]</w:t>
      </w:r>
      <w:r>
        <w:t xml:space="preserve">. Positive social relationships have consistently been associated with better alcohol treatment outcomes</w:t>
      </w:r>
      <w:r>
        <w:t xml:space="preserve"> </w:t>
      </w:r>
      <w:r>
        <w:t xml:space="preserve">[17–20]</w:t>
      </w:r>
      <w:r>
        <w:t xml:space="preserve">. For example, the supportive and pro‑abstinent social environment of self‑help groups, like Alcoholics Anonymous, is thought to play a major role in their efficacy</w:t>
      </w:r>
      <w:r>
        <w:t xml:space="preserve"> </w:t>
      </w:r>
      <w:r>
        <w:t xml:space="preserve">[18,21–23]</w:t>
      </w:r>
      <w:r>
        <w:t xml:space="preserve">. Conversely, maintaining relationships with heavy drinkers or individuals unsupportive of recovery is associated with poorer outcomes</w:t>
      </w:r>
      <w:r>
        <w:t xml:space="preserve"> </w:t>
      </w:r>
      <w:r>
        <w:t xml:space="preserve">[24–26]</w:t>
      </w:r>
      <w:r>
        <w:t xml:space="preserve">. The buffering hypothesis further suggests that positive social relationships mitigate stress by providing resources that promote adaptive responses</w:t>
      </w:r>
      <w:r>
        <w:t xml:space="preserve"> </w:t>
      </w:r>
      <w:r>
        <w:t xml:space="preserve">[27,28]</w:t>
      </w:r>
      <w:r>
        <w:t xml:space="preserve">, a mechanism that likely extends to lapse risk given stress’s complex relationship with substance use</w:t>
      </w:r>
      <w:r>
        <w:t xml:space="preserve"> </w:t>
      </w:r>
      <w:r>
        <w:t xml:space="preserve">[29]</w:t>
      </w:r>
      <w:r>
        <w:t xml:space="preserve">.</w:t>
      </w:r>
    </w:p>
    <w:p>
      <w:pPr>
        <w:pStyle w:val="BodyText"/>
      </w:pPr>
      <w:r>
        <w:t xml:space="preserve">Importantly, these influences unfold over time through everyday social interactions. Because many social interactions occur over the phone, cellular communication logs provide a natural window into patterns of social engagement. Social relationships are inherently dynamic</w:t>
      </w:r>
      <w:r>
        <w:t xml:space="preserve"> </w:t>
      </w:r>
      <w:r>
        <w:t xml:space="preserve">[30–33]</w:t>
      </w:r>
      <w:r>
        <w:t xml:space="preserve">, and time-stamped communication data allow for the tracking of how these interactions fluctuate over time.</w:t>
      </w:r>
    </w:p>
    <w:p>
      <w:pPr>
        <w:pStyle w:val="BodyText"/>
      </w:pPr>
      <w:r>
        <w:t xml:space="preserve">In this study, we evaluated whether contextualized cellular communication features contain clinically meaningful signals for predicting next-day alcohol lapse risk among individuals in early recovery from AUD. Using a machine learning approach, we examined the predictive utility of these features and identified the most important communication-based features, with the goal of uncovering novel, clinically relevant predictors of lapse risk.</w:t>
      </w:r>
    </w:p>
    <w:bookmarkEnd w:id="10"/>
    <w:bookmarkStart w:id="22" w:name="methods"/>
    <w:p>
      <w:pPr>
        <w:pStyle w:val="Heading1"/>
      </w:pPr>
      <w:r>
        <w:t xml:space="preserve">Methods</w:t>
      </w:r>
    </w:p>
    <w:bookmarkStart w:id="12"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[34]</w:t>
      </w:r>
      <w:r>
        <w:t xml:space="preserve"> </w:t>
      </w:r>
      <w:r>
        <w:t xml:space="preserve">in the supplement. Second, our features, labels, questionnaires, code, and other study materials are publicly available on our Open Science Framework (OSF) page (</w:t>
      </w:r>
      <w:hyperlink r:id="rId11">
        <w:r>
          <w:rPr>
            <w:rStyle w:val="Hyperlink"/>
          </w:rPr>
          <w:t xml:space="preserve">https://osf.io/wgpz9/</w:t>
        </w:r>
      </w:hyperlink>
      <w:r>
        <w:t xml:space="preserve">).</w:t>
      </w:r>
    </w:p>
    <w:bookmarkEnd w:id="12"/>
    <w:bookmarkStart w:id="13"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[35]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[36]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[37]</w:t>
      </w:r>
      <w:r>
        <w:t xml:space="preserve">, and psychiatric symptoms</w:t>
      </w:r>
      <w:r>
        <w:t xml:space="preserve"> </w:t>
      </w:r>
      <w:r>
        <w:t xml:space="preserve">[36,38]</w:t>
      </w:r>
      <w:r>
        <w:t xml:space="preserve">). At the intake visit, approximately two weeks after screening, we collected additional self-report data on abstinence self-efficacy</w:t>
      </w:r>
      <w:r>
        <w:t xml:space="preserve"> </w:t>
      </w:r>
      <w:r>
        <w:t xml:space="preserve">[39]</w:t>
      </w:r>
      <w:r>
        <w:t xml:space="preserve">, craving</w:t>
      </w:r>
      <w:r>
        <w:t xml:space="preserve"> </w:t>
      </w:r>
      <w:r>
        <w:t xml:space="preserve">[40]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21" w:name="data-analysis-plan"/>
    <w:p>
      <w:pPr>
        <w:pStyle w:val="Heading2"/>
      </w:pPr>
      <w:r>
        <w:t xml:space="preserve">Data Analysis Plan</w:t>
      </w:r>
    </w:p>
    <w:bookmarkStart w:id="15"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5"/>
    <w:bookmarkStart w:id="18"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In other words, how does this feature value differ from what is typical for this person? Difference features were scored by subtracting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their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of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the feature set each predictor belongs to, feature engineering procedures used, scoring epochs (for cellular communication features only), and the total number of features derived from the raw predictor. We had no missing data across baseline measures of demographics, alcohol use characteristics, and psychiatric and personality characteristics. If no cellular communication data were observed during a feature scoring epoch that feature was scored 0, thus there were also no missing data among cellular communication features. Other feature engineering steps performed during cross-validation included standardizing all features and removing zero and near-zero variance features as determined from held-in data (code for our full data pre-processing pipeline is available on our OSF page [(</w:t>
      </w:r>
      <w:hyperlink r:id="rId11">
        <w:r>
          <w:rPr>
            <w:rStyle w:val="Hyperlink"/>
          </w:rPr>
          <w:t xml:space="preserve">https://osf.io/wgpz9/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two feature scoring epochs (24 hours and 1 week before the start of the prediction window). Within each feature scoring epoch we calculated two types of features: raw and difference features. Raw features represent the raw feature value calculated within a scoring epoch (e.g., the rate count of text messages during the 24 hours immediately preceding the start of the prediction window). Difference features capture participant-level changes from their baseline scores (e.g., the participant’s average rate count of text messages across all time on study subtracted from the rate count in the preceding 24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and Total Number of Features for each feature set.</w:t>
            </w:r>
          </w:p>
          <w:bookmarkEnd w:id="16"/>
        </w:tc>
      </w:tr>
    </w:tbl>
    <w:p>
      <w:pPr>
        <w:pStyle w:val="BodyText"/>
      </w:pPr>
      <w:r>
        <w:rPr>
          <w:vertAlign w:val="subscript"/>
        </w:rPr>
        <w:t xml:space="preserve">Source:</w:t>
      </w:r>
      <w:r>
        <w:rPr>
          <w:vertAlign w:val="subscript"/>
        </w:rPr>
        <w:t xml:space="preserve"> </w:t>
      </w:r>
      <w:hyperlink r:id="rId17">
        <w:r>
          <w:rPr>
            <w:rStyle w:val="Hyperlink"/>
            <w:vertAlign w:val="subscript"/>
          </w:rPr>
          <w:t xml:space="preserve">Make All Tables for Main Manuscript</w:t>
        </w:r>
      </w:hyperlink>
    </w:p>
    <w:bookmarkEnd w:id="18"/>
    <w:bookmarkStart w:id="19"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from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19"/>
    <w:bookmarkStart w:id="20" w:name="model-evaluation"/>
    <w:p>
      <w:pPr>
        <w:pStyle w:val="Heading3"/>
      </w:pPr>
      <w:r>
        <w:t xml:space="preserve">Model Evaluation</w:t>
      </w:r>
    </w:p>
    <w:p>
      <w:pPr>
        <w:pStyle w:val="FirstParagraph"/>
      </w:pPr>
      <w:r>
        <w:t xml:space="preserve">We evaluated model performance for our three final models (full model, baseline model, cellular communication model) using a Bayesian hierarchical generalized linear model. Posterior distributions with 95% credible intervals (CI) were estimated from the 30 held-out folds using weakly informative, data-dependent priors to regularize and reduce overfitting: Residual SD ~ exponential(2.3); intercept (centered predictors) ~ normal(0.62, 1.1); fixed effects ~ normal(0, 2.27); covariance ~ decov(1, 1, 1, 1). Random intercepts were included for repeat and fold (nested within repeat). We reported the median posterior auROC and 95% CI for each model. We also specified specified a single model contrast: full model vs. baseline model. auROCs were logit-transformed and regressed on model contrast to estimate the probability that model performances differed systematically.</w:t>
      </w:r>
    </w:p>
    <w:p>
      <w:pPr>
        <w:pStyle w:val="BodyText"/>
      </w:pPr>
      <w:r>
        <w:t xml:space="preserve">We refit our full model on the entire data set to identify the most important features. We quantified feature importance by examining the retained features (i.e., coefficient value &gt; 0) in our final elastic net model and ordering them by absolute coefficient value. These values provide an estimate of the direction and magnitude of association between each predictor and the outcome, conditional on the other features retained.</w:t>
      </w:r>
    </w:p>
    <w:bookmarkEnd w:id="20"/>
    <w:bookmarkEnd w:id="21"/>
    <w:bookmarkEnd w:id="22"/>
    <w:bookmarkStart w:id="33" w:name="results"/>
    <w:p>
      <w:pPr>
        <w:pStyle w:val="Heading1"/>
      </w:pPr>
      <w:r>
        <w:t xml:space="preserve">Results</w:t>
      </w:r>
    </w:p>
    <w:bookmarkStart w:id="25"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all text messages and voice calls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final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Tables for Main Manuscript</w:t>
        </w:r>
      </w:hyperlink>
    </w:p>
    <w:bookmarkEnd w:id="25"/>
    <w:bookmarkStart w:id="2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6"/>
    <w:bookmarkStart w:id="32" w:name="model-evaluation-1"/>
    <w:p>
      <w:pPr>
        <w:pStyle w:val="Heading2"/>
      </w:pPr>
      <w:r>
        <w:t xml:space="preserve">Model Evaluation</w:t>
      </w:r>
    </w:p>
    <w:p>
      <w:pPr>
        <w:pStyle w:val="FirstParagraph"/>
      </w:pPr>
      <w:r>
        <w:t xml:space="preserve">The median posterior auROC for the best performing full model was 0.674, 95% CI [0.639, 0.707]. The final model fit on the full data set retained 10 features (</w:t>
      </w:r>
      <w:hyperlink w:anchor="fig-1">
        <w:r>
          <w:rPr>
            <w:rStyle w:val="Hyperlink"/>
          </w:rPr>
          <w:t xml:space="preserve">Figure 1</w:t>
        </w:r>
      </w:hyperlink>
      <w:r>
        <w:t xml:space="preserve">). The top four features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Frequency of communications with drinkers, friends, and people unaware of the individual’s recovery goals, and number of unique contacts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0.687, 95% CI [0.653, 0.718]). However, the median difference in auROC was only 0.013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0.588, 95% CI [0.550, 0.624]. 100% of the sampled posteriors were above 0.5 indicating strong evidence that the model is performing above chance performance (i.e., it is capturing some risk-relevant signal in the data). Four of the five cellular communication features retained in the full model were also retained in the cellular communication model. Number of unique contacts did not get retained in the cellular communication model, although it was retained in the full model with a very small coefficient. No new important features beyond those retained in the full model emerged in the cellular communication model.</w:t>
      </w:r>
    </w:p>
    <w:tbl>
      <w:tblPr>
        <w:tblStyle w:val="Table"/>
        <w:tblW w:type="pct" w:w="5000"/>
        <w:tblLayout w:type="fixed"/>
        <w:tblLook w:firstRow="0" w:lastRow="0" w:firstColumn="0" w:lastColumn="0" w:noHBand="0" w:noVBand="0" w:val="0000"/>
      </w:tblPr>
      <w:tblGrid>
        <w:gridCol w:w="7920"/>
      </w:tblGrid>
      <w:tr>
        <w:tc>
          <w:tcPr/>
          <w:bookmarkStart w:id="30" w:name="fig-1"/>
          <w:p>
            <w:pPr>
              <w:pStyle w:val="Compact"/>
              <w:jc w:val="center"/>
            </w:pPr>
            <w:r>
              <w:drawing>
                <wp:inline>
                  <wp:extent cx="5334000" cy="4445000"/>
                  <wp:effectExtent b="0" l="0" r="0" t="0"/>
                  <wp:docPr descr="" title="" id="28" name="Picture"/>
                  <a:graphic>
                    <a:graphicData uri="http://schemas.openxmlformats.org/drawingml/2006/picture">
                      <pic:pic>
                        <pic:nvPicPr>
                          <pic:cNvPr descr="index_files/figure-docx/notebooks-mak_figures-fig-1-output-1.png" id="29" name="Picture"/>
                          <pic:cNvPicPr>
                            <a:picLocks noChangeArrowheads="1" noChangeAspect="1"/>
                          </pic:cNvPicPr>
                        </pic:nvPicPr>
                        <pic:blipFill>
                          <a:blip r:embed="rId27"/>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model.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Figures for Main Manuscript</w:t>
        </w:r>
      </w:hyperlink>
    </w:p>
    <w:bookmarkEnd w:id="32"/>
    <w:bookmarkEnd w:id="33"/>
    <w:bookmarkStart w:id="34" w:name="discussion"/>
    <w:p>
      <w:pPr>
        <w:pStyle w:val="Heading1"/>
      </w:pPr>
      <w:r>
        <w:t xml:space="preserve">Discussion</w:t>
      </w:r>
    </w:p>
    <w:p>
      <w:pPr>
        <w:pStyle w:val="FirstParagraph"/>
      </w:pPr>
      <w:r>
        <w:t xml:space="preserve">Our full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Cellular communication data on its own performed poorly for prediction (auROC = 0.67) However, it still performed above what we would expect from a model performing at chance, suggesting there may be some signal in this data. Additionally, several communication features were retained in the final model with moderately sized coefficients. These included communications with drinkers, non-drinkers, friends, and people unaware of the participant’s recovery goals. Number of unique contacts was also retained in the model, though with a much smaller coefficient.</w:t>
      </w:r>
    </w:p>
    <w:p>
      <w:pPr>
        <w:pStyle w:val="BodyText"/>
      </w:pPr>
      <w:r>
        <w:t xml:space="preserve">The finding that communications with drinkers increase lapse risk and communications with non-drinkers decrease lapse risk is consistent with prior literature</w:t>
      </w:r>
      <w:r>
        <w:t xml:space="preserve"> </w:t>
      </w:r>
      <w:r>
        <w:t xml:space="preserve">[19,20]</w:t>
      </w:r>
      <w:r>
        <w:t xml:space="preserve">. Individuals who surround themselves with people who drink (and who may have even drunk with the individual in the past) may be more likely to experience exposure to drinking-related cues and opportunities to drink. Conversely, communicating with non-drinkers may reflect a more supportive social environment that promotes recovery. Additionally, given that alcohol use is often a social activity, it is not unexpected that increased communication with friends was associated with greater lapse risk.</w:t>
      </w:r>
    </w:p>
    <w:p>
      <w:pPr>
        <w:pStyle w:val="BodyText"/>
      </w:pPr>
      <w:r>
        <w:t xml:space="preserve">We were surprised to find that communications with people who did not know about an individual’s recovery goals was also a risk factor. We might have expected that communication with people supportive of recovery goals would be a protective factor, or that communication with people unsupportive of those goals would increase risk. One possible explanation is that lack of disclosure reflects lower confidence in sharing something as personal as recovery with others. It could also reflect perceived or anticipated stigma, thereby capturing the other person’s beliefs or attitudes about substance use. Lastly, it could signal reduced access to recovery support, as individuals cannot provide support for goals they are unaware of. Future research could explore this finding further to better understand the mechanisms underlying this association.</w:t>
      </w:r>
    </w:p>
    <w:p>
      <w:pPr>
        <w:pStyle w:val="BodyText"/>
      </w:pPr>
      <w:r>
        <w:t xml:space="preserve">In contrast to the contextual features,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[41]</w:t>
      </w:r>
      <w:r>
        <w:t xml:space="preserve">. Therefore, our dataset likely missed a substantial portion of participants’ communications. Future studies could explore whether incorporating communication data from additional platforms yields stronger predictive signal. It may be also worthwhile to use scoring epochs longer than one week. Longer scoring epochs (e.g., two weeks or one month) would contain more data. Additionally, they may better capture slow evolving risk-features, such as a gradually shrinking social circle leading to improved predictive performance.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also cannot eliminate the possibility that our participants were purposefully deleting text messages and call logs that they did not want us to see. This may be especially relevant for text messages (e.g., where drinking plans were made). Although the focus of this study was on the metadata and context of cellular communications, text message content, nevertheless, was collected during the cellular communication log download as party of the larger aims of the parent project. This raises the possibility of missed opportunity for risk-relevant signal due to non-random patterns of missing data (i.e., data missingness increases when participants lapse).</w:t>
      </w:r>
    </w:p>
    <w:p>
      <w:pPr>
        <w:pStyle w:val="BodyText"/>
      </w:pPr>
      <w:r>
        <w:t xml:space="preserve">Our conclusions are limited by sample composition and size. Our participants were predominantly non-Hispanic White and all were from the Madison, WI area. We had poor representation of older adults (65+ years) which may have been due to our requirement that participants owned and used a smartphone. Smartphone ownership is generally high. As of 2025, roughly 91% of Americans own a smartphone, with at least 85% ownership across across gender, race/ethnicity, socioeconomic status, and geographic location subgroups</w:t>
      </w:r>
      <w:r>
        <w:t xml:space="preserve"> </w:t>
      </w:r>
      <w:r>
        <w:t xml:space="preserve">[42]</w:t>
      </w:r>
      <w:r>
        <w:t xml:space="preserve">. One exception to this pattern is with older adults. Ownership rates dip down to 78% among those ages 65 and older</w:t>
      </w:r>
      <w:r>
        <w:t xml:space="preserve"> </w:t>
      </w:r>
      <w:r>
        <w:t xml:space="preserve">[42]</w:t>
      </w:r>
      <w:r>
        <w:t xml:space="preserve">. On top of a relatively homogeneous sample composition, our sample size was relatively small (</w:t>
      </w:r>
      <m:oMath>
        <m:r>
          <m:t>N</m:t>
        </m:r>
      </m:oMath>
      <w:r>
        <w:t xml:space="preserve">=144). Our large number of observations (i.e., 11,507 prediction windows across participants) was sufficient for training machine learning models with low bias and variance and evaluating model performance on new individuals. However, these estimates represent unbiased estimated of how well our model performs on new individuals similar in composition to those in our sample. Thus, our findings may not generalize to individuals from more diverse populations or in different geographic locations.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[43]</w:t>
      </w:r>
      <w:r>
        <w:t xml:space="preserve"> </w:t>
      </w:r>
      <w:r>
        <w:t xml:space="preserve">and predict future</w:t>
      </w:r>
      <w:r>
        <w:t xml:space="preserve"> </w:t>
      </w:r>
      <w:r>
        <w:t xml:space="preserve">[44]</w:t>
      </w:r>
      <w:r>
        <w:t xml:space="preserve"> </w:t>
      </w:r>
      <w:r>
        <w:t xml:space="preserve">heavy drinking episodes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4"/>
    <w:bookmarkStart w:id="35" w:name="acknowledgments"/>
    <w:p>
      <w:pPr>
        <w:pStyle w:val="Heading1"/>
      </w:pPr>
      <w:r>
        <w:t xml:space="preserve">Acknowledgments</w:t>
      </w:r>
    </w:p>
    <w:p>
      <w:pPr>
        <w:pStyle w:val="FirstParagraph"/>
      </w:pPr>
      <w:r>
        <w:t xml:space="preserve">The authors wish to thank Susan E. Wanta for her role as the project administrator.</w:t>
      </w:r>
    </w:p>
    <w:bookmarkEnd w:id="35"/>
    <w:bookmarkStart w:id="36"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6"/>
    <w:bookmarkStart w:id="37"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7"/>
    <w:bookmarkStart w:id="38"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8"/>
    <w:bookmarkStart w:id="39"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39"/>
    <w:bookmarkStart w:id="120" w:name="references"/>
    <w:p>
      <w:pPr>
        <w:pStyle w:val="Heading1"/>
      </w:pPr>
      <w:r>
        <w:t xml:space="preserve">References</w:t>
      </w:r>
    </w:p>
    <w:bookmarkStart w:id="119" w:name="refs"/>
    <w:bookmarkStart w:id="41"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0">
        <w:r>
          <w:rPr>
            <w:rStyle w:val="Hyperlink"/>
          </w:rPr>
          <w:t xml:space="preserve">10.1001/jama.284.13.1689</w:t>
        </w:r>
      </w:hyperlink>
    </w:p>
    <w:bookmarkEnd w:id="41"/>
    <w:bookmarkStart w:id="43" w:name="ref-dennisManagingAddictionChronic2007"/>
    <w:p>
      <w:pPr>
        <w:pStyle w:val="Bibliography"/>
      </w:pPr>
      <w:r>
        <w:t xml:space="preserve">2.</w:t>
      </w:r>
      <w:r>
        <w:t xml:space="preserve"> </w:t>
      </w:r>
      <w:r>
        <w:t xml:space="preserve">	</w:t>
      </w:r>
      <w:r>
        <w:t xml:space="preserve">Dennis M, Scott CK.</w:t>
      </w:r>
      <w:r>
        <w:t xml:space="preserve"> </w:t>
      </w:r>
      <w:hyperlink r:id="rId42">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3"/>
    <w:bookmarkStart w:id="44"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4"/>
    <w:bookmarkStart w:id="45"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5"/>
    <w:bookmarkStart w:id="46"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6"/>
    <w:bookmarkStart w:id="48"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7">
        <w:r>
          <w:rPr>
            <w:rStyle w:val="Hyperlink"/>
          </w:rPr>
          <w:t xml:space="preserve">10.1093/med-psych/9780190926717.003.0018</w:t>
        </w:r>
      </w:hyperlink>
    </w:p>
    <w:bookmarkEnd w:id="48"/>
    <w:bookmarkStart w:id="50"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49">
        <w:r>
          <w:rPr>
            <w:rStyle w:val="Hyperlink"/>
          </w:rPr>
          <w:t xml:space="preserve">10.1007/978-3-030-56958-7_6</w:t>
        </w:r>
      </w:hyperlink>
    </w:p>
    <w:bookmarkEnd w:id="50"/>
    <w:bookmarkStart w:id="52"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1">
        <w:r>
          <w:rPr>
            <w:rStyle w:val="Hyperlink"/>
          </w:rPr>
          <w:t xml:space="preserve">10.1146/annurev-clinpsy-032816-044949</w:t>
        </w:r>
      </w:hyperlink>
    </w:p>
    <w:bookmarkEnd w:id="52"/>
    <w:bookmarkStart w:id="54"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3">
        <w:r>
          <w:rPr>
            <w:rStyle w:val="Hyperlink"/>
          </w:rPr>
          <w:t xml:space="preserve">10.1016/j.jsat.2013.08.004</w:t>
        </w:r>
      </w:hyperlink>
    </w:p>
    <w:bookmarkEnd w:id="54"/>
    <w:bookmarkStart w:id="56"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5">
        <w:r>
          <w:rPr>
            <w:rStyle w:val="Hyperlink"/>
          </w:rPr>
          <w:t xml:space="preserve">10.1037/abn0000901</w:t>
        </w:r>
      </w:hyperlink>
    </w:p>
    <w:bookmarkEnd w:id="56"/>
    <w:bookmarkStart w:id="57"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7"/>
    <w:bookmarkStart w:id="59"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8">
        <w:r>
          <w:rPr>
            <w:rStyle w:val="Hyperlink"/>
          </w:rPr>
          <w:t xml:space="preserve">10/gfsjzg</w:t>
        </w:r>
      </w:hyperlink>
    </w:p>
    <w:bookmarkEnd w:id="59"/>
    <w:bookmarkStart w:id="61"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0">
        <w:r>
          <w:rPr>
            <w:rStyle w:val="Hyperlink"/>
          </w:rPr>
          <w:t xml:space="preserve">10.2196/41833</w:t>
        </w:r>
      </w:hyperlink>
    </w:p>
    <w:bookmarkEnd w:id="61"/>
    <w:bookmarkStart w:id="63" w:name="Xe80ec35a54976c698ffc95801360289b0b6042f"/>
    <w:p>
      <w:pPr>
        <w:pStyle w:val="Bibliography"/>
      </w:pPr>
      <w:r>
        <w:t xml:space="preserve">14.</w:t>
      </w:r>
      <w:r>
        <w:t xml:space="preserve"> </w:t>
      </w:r>
      <w:r>
        <w:t xml:space="preserve">	</w:t>
      </w:r>
      <w:r>
        <w:t xml:space="preserve">Hunter-Reel D, McCrady B, Hildebrandt T. Emphasizing interpersonal factors: An extension of the</w:t>
      </w:r>
      <w:r>
        <w:t xml:space="preserve"> </w:t>
      </w:r>
      <w:r>
        <w:t xml:space="preserve">Witkiewitz</w:t>
      </w:r>
      <w:r>
        <w:t xml:space="preserve"> </w:t>
      </w:r>
      <w:r>
        <w:t xml:space="preserve">and</w:t>
      </w:r>
      <w:r>
        <w:t xml:space="preserve"> </w:t>
      </w:r>
      <w:r>
        <w:t xml:space="preserve">Marlatt</w:t>
      </w:r>
      <w:r>
        <w:t xml:space="preserve"> </w:t>
      </w:r>
      <w:r>
        <w:t xml:space="preserve">relapse model. Addiction. 2009;104: 1281–1290. doi:</w:t>
      </w:r>
      <w:hyperlink r:id="rId62">
        <w:r>
          <w:rPr>
            <w:rStyle w:val="Hyperlink"/>
          </w:rPr>
          <w:t xml:space="preserve">10/bqvzsj</w:t>
        </w:r>
      </w:hyperlink>
    </w:p>
    <w:bookmarkEnd w:id="63"/>
    <w:bookmarkStart w:id="65" w:name="X9a3ed819ea886023ba0a153b2b6e5a12d29c458"/>
    <w:p>
      <w:pPr>
        <w:pStyle w:val="Bibliography"/>
      </w:pPr>
      <w:r>
        <w:t xml:space="preserve">15.</w:t>
      </w:r>
      <w:r>
        <w:t xml:space="preserve"> </w:t>
      </w:r>
      <w:r>
        <w:t xml:space="preserve">	</w:t>
      </w:r>
      <w:r>
        <w:t xml:space="preserve">Witkiewitz K, Marlatt GA. Emphasis on</w:t>
      </w:r>
      <w:r>
        <w:t xml:space="preserve"> </w:t>
      </w:r>
      <w:r>
        <w:t xml:space="preserve">Interpersonal Factors</w:t>
      </w:r>
      <w:r>
        <w:t xml:space="preserve"> </w:t>
      </w:r>
      <w:r>
        <w:t xml:space="preserve">in a</w:t>
      </w:r>
      <w:r>
        <w:t xml:space="preserve"> </w:t>
      </w:r>
      <w:r>
        <w:t xml:space="preserve">Dynamic Model</w:t>
      </w:r>
      <w:r>
        <w:t xml:space="preserve"> </w:t>
      </w:r>
      <w:r>
        <w:t xml:space="preserve">of</w:t>
      </w:r>
      <w:r>
        <w:t xml:space="preserve"> </w:t>
      </w:r>
      <w:r>
        <w:t xml:space="preserve">Relapse</w:t>
      </w:r>
      <w:r>
        <w:t xml:space="preserve">. American Psychologist. 2005;60: 341–342. doi:</w:t>
      </w:r>
      <w:hyperlink r:id="rId64">
        <w:r>
          <w:rPr>
            <w:rStyle w:val="Hyperlink"/>
          </w:rPr>
          <w:t xml:space="preserve">10/bxvs99</w:t>
        </w:r>
      </w:hyperlink>
    </w:p>
    <w:bookmarkEnd w:id="65"/>
    <w:bookmarkStart w:id="67" w:name="ref-stantonRelapsePreventionNeeds2005"/>
    <w:p>
      <w:pPr>
        <w:pStyle w:val="Bibliography"/>
      </w:pPr>
      <w:r>
        <w:t xml:space="preserve">16.</w:t>
      </w:r>
      <w:r>
        <w:t xml:space="preserve"> </w:t>
      </w:r>
      <w:r>
        <w:t xml:space="preserve">	</w:t>
      </w:r>
      <w:r>
        <w:t xml:space="preserve">Stanton M. Relapse</w:t>
      </w:r>
      <w:r>
        <w:t xml:space="preserve"> </w:t>
      </w:r>
      <w:r>
        <w:t xml:space="preserve">Prevention Needs More Emphasis</w:t>
      </w:r>
      <w:r>
        <w:t xml:space="preserve"> </w:t>
      </w:r>
      <w:r>
        <w:t xml:space="preserve">on</w:t>
      </w:r>
      <w:r>
        <w:t xml:space="preserve"> </w:t>
      </w:r>
      <w:r>
        <w:t xml:space="preserve">Interpersonal Factors</w:t>
      </w:r>
      <w:r>
        <w:t xml:space="preserve">. American Psychologist. 2005;60: 340–341. doi:</w:t>
      </w:r>
      <w:hyperlink r:id="rId66">
        <w:r>
          <w:rPr>
            <w:rStyle w:val="Hyperlink"/>
          </w:rPr>
          <w:t xml:space="preserve">10/frq49s</w:t>
        </w:r>
      </w:hyperlink>
    </w:p>
    <w:bookmarkEnd w:id="67"/>
    <w:bookmarkStart w:id="68" w:name="ref-grohFriendsFamilyAlcohol2010"/>
    <w:p>
      <w:pPr>
        <w:pStyle w:val="Bibliography"/>
      </w:pPr>
      <w:r>
        <w:t xml:space="preserve">17.</w:t>
      </w:r>
      <w:r>
        <w:t xml:space="preserve"> </w:t>
      </w:r>
      <w:r>
        <w:t xml:space="preserve">	</w:t>
      </w:r>
      <w:r>
        <w:t xml:space="preserve">Groh DR, Jason LA, Davis MI, Olson BD, Ferrari JR. Friends,</w:t>
      </w:r>
      <w:r>
        <w:t xml:space="preserve"> </w:t>
      </w:r>
      <w:r>
        <w:t xml:space="preserve">Family</w:t>
      </w:r>
      <w:r>
        <w:t xml:space="preserve">, and</w:t>
      </w:r>
      <w:r>
        <w:t xml:space="preserve"> </w:t>
      </w:r>
      <w:r>
        <w:t xml:space="preserve">Alcohol Abuse</w:t>
      </w:r>
      <w:r>
        <w:t xml:space="preserve">:</w:t>
      </w:r>
      <w:r>
        <w:t xml:space="preserve"> </w:t>
      </w:r>
      <w:r>
        <w:t xml:space="preserve">An Examination</w:t>
      </w:r>
      <w:r>
        <w:t xml:space="preserve"> </w:t>
      </w:r>
      <w:r>
        <w:t xml:space="preserve">of</w:t>
      </w:r>
      <w:r>
        <w:t xml:space="preserve"> </w:t>
      </w:r>
      <w:r>
        <w:t xml:space="preserve">General</w:t>
      </w:r>
      <w:r>
        <w:t xml:space="preserve"> </w:t>
      </w:r>
      <w:r>
        <w:t xml:space="preserve">and</w:t>
      </w:r>
      <w:r>
        <w:t xml:space="preserve"> </w:t>
      </w:r>
      <w:r>
        <w:t xml:space="preserve">Alcohol-Specific Social Support</w:t>
      </w:r>
      <w:r>
        <w:t xml:space="preserve">. 2010; 11.</w:t>
      </w:r>
      <w:r>
        <w:t xml:space="preserve"> </w:t>
      </w:r>
    </w:p>
    <w:bookmarkEnd w:id="68"/>
    <w:bookmarkStart w:id="69" w:name="ref-kellyRoleAlcoholicsAnonymous2012"/>
    <w:p>
      <w:pPr>
        <w:pStyle w:val="Bibliography"/>
      </w:pPr>
      <w:r>
        <w:t xml:space="preserve">18.</w:t>
      </w:r>
      <w:r>
        <w:t xml:space="preserve"> </w:t>
      </w:r>
      <w:r>
        <w:t xml:space="preserve">	</w:t>
      </w:r>
      <w:r>
        <w:t xml:space="preserve">Kelly JF, Stout RL, Magill M, Tonigan JS. The role of</w:t>
      </w:r>
      <w:r>
        <w:t xml:space="preserve"> </w:t>
      </w:r>
      <w:r>
        <w:t xml:space="preserve">Alcoholics Anonymous</w:t>
      </w:r>
      <w:r>
        <w:t xml:space="preserve"> </w:t>
      </w:r>
      <w:r>
        <w:t xml:space="preserve">in mobilizing adaptive social network changes:</w:t>
      </w:r>
      <w:r>
        <w:t xml:space="preserve"> </w:t>
      </w:r>
      <w:r>
        <w:t xml:space="preserve">A</w:t>
      </w:r>
      <w:r>
        <w:t xml:space="preserve"> </w:t>
      </w:r>
      <w:r>
        <w:t xml:space="preserve">prospective lagged mediational analysis. 2012; 21.</w:t>
      </w:r>
      <w:r>
        <w:t xml:space="preserve"> </w:t>
      </w:r>
    </w:p>
    <w:bookmarkEnd w:id="69"/>
    <w:bookmarkStart w:id="71" w:name="X4fe0d3b7f17b62dab47fe3af3de2f90fa874722"/>
    <w:p>
      <w:pPr>
        <w:pStyle w:val="Bibliography"/>
      </w:pPr>
      <w:r>
        <w:t xml:space="preserve">19.</w:t>
      </w:r>
      <w:r>
        <w:t xml:space="preserve"> </w:t>
      </w:r>
      <w:r>
        <w:t xml:space="preserve">	</w:t>
      </w:r>
      <w:r>
        <w:t xml:space="preserve">Zywiak WH, Longabaugh R, Wirtz PW.</w:t>
      </w:r>
      <w:r>
        <w:t xml:space="preserve"> </w:t>
      </w:r>
      <w:hyperlink r:id="rId70">
        <w:r>
          <w:rPr>
            <w:rStyle w:val="Hyperlink"/>
          </w:rPr>
          <w:t xml:space="preserve">Decomposing the relationships between pretreatment social network characteristics and alcohol treatment outcome</w:t>
        </w:r>
      </w:hyperlink>
      <w:r>
        <w:t xml:space="preserve">. Journal of Studies on Alcohol. 2002;63: 114–121.</w:t>
      </w:r>
      <w:r>
        <w:t xml:space="preserve"> </w:t>
      </w:r>
    </w:p>
    <w:bookmarkEnd w:id="71"/>
    <w:bookmarkStart w:id="73" w:name="Xe238f7f2769b421e2fd8887e4d8b1bddbc60547"/>
    <w:p>
      <w:pPr>
        <w:pStyle w:val="Bibliography"/>
      </w:pPr>
      <w:r>
        <w:t xml:space="preserve">20.</w:t>
      </w:r>
      <w:r>
        <w:t xml:space="preserve"> </w:t>
      </w:r>
      <w:r>
        <w:t xml:space="preserve">	</w:t>
      </w:r>
      <w:r>
        <w:t xml:space="preserve">Longabaugh R, O’Malley SS. Network</w:t>
      </w:r>
      <w:r>
        <w:t xml:space="preserve"> </w:t>
      </w:r>
      <w:r>
        <w:t xml:space="preserve">Support</w:t>
      </w:r>
      <w:r>
        <w:t xml:space="preserve"> </w:t>
      </w:r>
      <w:r>
        <w:t xml:space="preserve">as a</w:t>
      </w:r>
      <w:r>
        <w:t xml:space="preserve"> </w:t>
      </w:r>
      <w:r>
        <w:t xml:space="preserve">Prognostic Indicator</w:t>
      </w:r>
      <w:r>
        <w:t xml:space="preserve"> </w:t>
      </w:r>
      <w:r>
        <w:t xml:space="preserve">of</w:t>
      </w:r>
      <w:r>
        <w:t xml:space="preserve"> </w:t>
      </w:r>
      <w:r>
        <w:t xml:space="preserve">Drinking Outcomes</w:t>
      </w:r>
      <w:r>
        <w:t xml:space="preserve">:</w:t>
      </w:r>
      <w:r>
        <w:t xml:space="preserve"> </w:t>
      </w:r>
      <w:r>
        <w:t xml:space="preserve">The COMBINE Study</w:t>
      </w:r>
      <w:r>
        <w:t xml:space="preserve">. JOURNAL OF STUDIES ON ALCOHOL AND DRUGS. 2010; 10. doi:</w:t>
      </w:r>
      <w:hyperlink r:id="rId72">
        <w:r>
          <w:rPr>
            <w:rStyle w:val="Hyperlink"/>
          </w:rPr>
          <w:t xml:space="preserve">10/ghqvc7</w:t>
        </w:r>
      </w:hyperlink>
    </w:p>
    <w:bookmarkEnd w:id="73"/>
    <w:bookmarkStart w:id="75" w:name="ref-grohSocialNetworkVariables2008"/>
    <w:p>
      <w:pPr>
        <w:pStyle w:val="Bibliography"/>
      </w:pPr>
      <w:r>
        <w:t xml:space="preserve">21.</w:t>
      </w:r>
      <w:r>
        <w:t xml:space="preserve"> </w:t>
      </w:r>
      <w:r>
        <w:t xml:space="preserve">	</w:t>
      </w:r>
      <w:r>
        <w:t xml:space="preserve">Groh D, Jason L, Keys C. Social network variables in alcoholics anonymous:</w:t>
      </w:r>
      <w:r>
        <w:t xml:space="preserve"> </w:t>
      </w:r>
      <w:r>
        <w:t xml:space="preserve">A</w:t>
      </w:r>
      <w:r>
        <w:t xml:space="preserve"> </w:t>
      </w:r>
      <w:r>
        <w:t xml:space="preserve">literature review. Clinical Psychology Review. 2008;28: 430–450. doi:</w:t>
      </w:r>
      <w:hyperlink r:id="rId74">
        <w:r>
          <w:rPr>
            <w:rStyle w:val="Hyperlink"/>
          </w:rPr>
          <w:t xml:space="preserve">10/b86245</w:t>
        </w:r>
      </w:hyperlink>
    </w:p>
    <w:bookmarkEnd w:id="75"/>
    <w:bookmarkStart w:id="77" w:name="ref-woffServiceProvidersPerceptions1996"/>
    <w:p>
      <w:pPr>
        <w:pStyle w:val="Bibliography"/>
      </w:pPr>
      <w:r>
        <w:t xml:space="preserve">22.</w:t>
      </w:r>
      <w:r>
        <w:t xml:space="preserve"> </w:t>
      </w:r>
      <w:r>
        <w:t xml:space="preserve">	</w:t>
      </w:r>
      <w:r>
        <w:t xml:space="preserve">Woff I, Toumbourou J, Herlihy E, Hamilton M, Wales S. Service providers’ perceptions of substance use self-help groups. Substance Use &amp; Misuse. 1996;31: 1241–1258. doi:</w:t>
      </w:r>
      <w:hyperlink r:id="rId76">
        <w:r>
          <w:rPr>
            <w:rStyle w:val="Hyperlink"/>
          </w:rPr>
          <w:t xml:space="preserve">10.3109/10826089609063976</w:t>
        </w:r>
      </w:hyperlink>
    </w:p>
    <w:bookmarkEnd w:id="77"/>
    <w:bookmarkStart w:id="79" w:name="Xca677b9b728779665dfcfc54ba66f00f69a3908"/>
    <w:p>
      <w:pPr>
        <w:pStyle w:val="Bibliography"/>
      </w:pPr>
      <w:r>
        <w:t xml:space="preserve">23.</w:t>
      </w:r>
      <w:r>
        <w:t xml:space="preserve"> </w:t>
      </w:r>
      <w:r>
        <w:t xml:space="preserve">	</w:t>
      </w:r>
      <w:r>
        <w:t xml:space="preserve">Humphreys K, Mankowski ES, Moos RH, Finney JW. Do enhanced friendship networks and active coping mediate the effect of self-help groups on substance abuse? Annals of Behavioral Medicine: A Publication of the Society of Behavioral Medicine. 1999;21: 54–60. doi:</w:t>
      </w:r>
      <w:hyperlink r:id="rId78">
        <w:r>
          <w:rPr>
            <w:rStyle w:val="Hyperlink"/>
          </w:rPr>
          <w:t xml:space="preserve">10/cjrpbz</w:t>
        </w:r>
      </w:hyperlink>
    </w:p>
    <w:bookmarkEnd w:id="79"/>
    <w:bookmarkStart w:id="81" w:name="ref-alvarezSocialNetworkHeavy2021"/>
    <w:p>
      <w:pPr>
        <w:pStyle w:val="Bibliography"/>
      </w:pPr>
      <w:r>
        <w:t xml:space="preserve">24.</w:t>
      </w:r>
      <w:r>
        <w:t xml:space="preserve"> </w:t>
      </w:r>
      <w:r>
        <w:t xml:space="preserve">	</w:t>
      </w:r>
      <w:r>
        <w:t xml:space="preserve">Alvarez MJ, Richards DK, Oviedo Ramirez S, Field CA. Social network heavy drinking moderates the effects of a brief motivational intervention for alcohol use among injured patients. Addictive Behaviors. 2021;112: 106594. doi:</w:t>
      </w:r>
      <w:hyperlink r:id="rId80">
        <w:r>
          <w:rPr>
            <w:rStyle w:val="Hyperlink"/>
          </w:rPr>
          <w:t xml:space="preserve">10/ghqvdc</w:t>
        </w:r>
      </w:hyperlink>
    </w:p>
    <w:bookmarkEnd w:id="81"/>
    <w:bookmarkStart w:id="83" w:name="ref-gordonSocialNetworksRecovery1991"/>
    <w:p>
      <w:pPr>
        <w:pStyle w:val="Bibliography"/>
      </w:pPr>
      <w:r>
        <w:t xml:space="preserve">25.</w:t>
      </w:r>
      <w:r>
        <w:t xml:space="preserve"> </w:t>
      </w:r>
      <w:r>
        <w:t xml:space="preserve">	</w:t>
      </w:r>
      <w:r>
        <w:t xml:space="preserve">Gordon AJ, Zrull M. Social networks and recovery:</w:t>
      </w:r>
      <w:r>
        <w:t xml:space="preserve"> </w:t>
      </w:r>
      <w:r>
        <w:t xml:space="preserve">One</w:t>
      </w:r>
      <w:r>
        <w:t xml:space="preserve"> </w:t>
      </w:r>
      <w:r>
        <w:t xml:space="preserve">year after inpatient treatment. Journal of Substance Abuse Treatment. 1991;8: 143–152. doi:</w:t>
      </w:r>
      <w:hyperlink r:id="rId82">
        <w:r>
          <w:rPr>
            <w:rStyle w:val="Hyperlink"/>
          </w:rPr>
          <w:t xml:space="preserve">10/dg32sj</w:t>
        </w:r>
      </w:hyperlink>
    </w:p>
    <w:bookmarkEnd w:id="83"/>
    <w:bookmarkStart w:id="85" w:name="ref-mohrGettingGettingHigh2001"/>
    <w:p>
      <w:pPr>
        <w:pStyle w:val="Bibliography"/>
      </w:pPr>
      <w:r>
        <w:t xml:space="preserve">26.</w:t>
      </w:r>
      <w:r>
        <w:t xml:space="preserve"> </w:t>
      </w:r>
      <w:r>
        <w:t xml:space="preserve">	</w:t>
      </w:r>
      <w:r>
        <w:t xml:space="preserve">Mohr CD, Averna S, Kenny DA, Del Boca FK. "</w:t>
      </w:r>
      <w:r>
        <w:t xml:space="preserve">Getting</w:t>
      </w:r>
      <w:r>
        <w:t xml:space="preserve"> </w:t>
      </w:r>
      <w:r>
        <w:t xml:space="preserve">by (or getting high) with a little help from my friends": An examination of adult alcoholics’ friendships. Journal of Studies on Alcohol. 2001;62: 637–645. doi:</w:t>
      </w:r>
      <w:hyperlink r:id="rId84">
        <w:r>
          <w:rPr>
            <w:rStyle w:val="Hyperlink"/>
          </w:rPr>
          <w:t xml:space="preserve">10/ghqvc3</w:t>
        </w:r>
      </w:hyperlink>
    </w:p>
    <w:bookmarkEnd w:id="85"/>
    <w:bookmarkStart w:id="87" w:name="ref-cohenStressSocialSupport"/>
    <w:p>
      <w:pPr>
        <w:pStyle w:val="Bibliography"/>
      </w:pPr>
      <w:r>
        <w:t xml:space="preserve">27.</w:t>
      </w:r>
      <w:r>
        <w:t xml:space="preserve"> </w:t>
      </w:r>
      <w:r>
        <w:t xml:space="preserve">	</w:t>
      </w:r>
      <w:r>
        <w:t xml:space="preserve">Cohen S, Wills TA. Stress,</w:t>
      </w:r>
      <w:r>
        <w:t xml:space="preserve"> </w:t>
      </w:r>
      <w:r>
        <w:t xml:space="preserve">Social Support</w:t>
      </w:r>
      <w:r>
        <w:t xml:space="preserve">, and the</w:t>
      </w:r>
      <w:r>
        <w:t xml:space="preserve"> </w:t>
      </w:r>
      <w:r>
        <w:t xml:space="preserve">Buffering Hypothesis</w:t>
      </w:r>
      <w:r>
        <w:t xml:space="preserve">. : 48. doi:</w:t>
      </w:r>
      <w:hyperlink r:id="rId86">
        <w:r>
          <w:rPr>
            <w:rStyle w:val="Hyperlink"/>
          </w:rPr>
          <w:t xml:space="preserve">10/b4k</w:t>
        </w:r>
      </w:hyperlink>
    </w:p>
    <w:bookmarkEnd w:id="87"/>
    <w:bookmarkStart w:id="89" w:name="Xdf237b67d090e6daa6d47c922631d48705ffd8f"/>
    <w:p>
      <w:pPr>
        <w:pStyle w:val="Bibliography"/>
      </w:pPr>
      <w:r>
        <w:t xml:space="preserve">28.</w:t>
      </w:r>
      <w:r>
        <w:t xml:space="preserve"> </w:t>
      </w:r>
      <w:r>
        <w:t xml:space="preserve">	</w:t>
      </w:r>
      <w:r>
        <w:t xml:space="preserve">Holt-Lunstad J, Smith TB, Layton JB. Social relationships and mortality risk: A meta-analytic review. PLoS medicine. 2010;7: e1000316. doi:</w:t>
      </w:r>
      <w:hyperlink r:id="rId88">
        <w:r>
          <w:rPr>
            <w:rStyle w:val="Hyperlink"/>
          </w:rPr>
          <w:t xml:space="preserve">10/c3f27d</w:t>
        </w:r>
      </w:hyperlink>
    </w:p>
    <w:bookmarkEnd w:id="89"/>
    <w:bookmarkStart w:id="91" w:name="ref-fronkStressAllostasisSubstance2020"/>
    <w:p>
      <w:pPr>
        <w:pStyle w:val="Bibliography"/>
      </w:pPr>
      <w:r>
        <w:t xml:space="preserve">29.</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90">
        <w:r>
          <w:rPr>
            <w:rStyle w:val="Hyperlink"/>
          </w:rPr>
          <w:t xml:space="preserve">10.1146/annurev-clinpsy-102419-125016</w:t>
        </w:r>
      </w:hyperlink>
    </w:p>
    <w:bookmarkEnd w:id="91"/>
    <w:bookmarkStart w:id="93" w:name="ref-hidalgoDynamicsMobilePhone2008"/>
    <w:p>
      <w:pPr>
        <w:pStyle w:val="Bibliography"/>
      </w:pPr>
      <w:r>
        <w:t xml:space="preserve">30.</w:t>
      </w:r>
      <w:r>
        <w:t xml:space="preserve"> </w:t>
      </w:r>
      <w:r>
        <w:t xml:space="preserve">	</w:t>
      </w:r>
      <w:r>
        <w:t xml:space="preserve">Hidalgo CA, Rodriguez-Sickert C. The dynamics of a mobile phone network. Physica A: Statistical Mechanics and its Applications. 2008;387: 3017–3024. doi:</w:t>
      </w:r>
      <w:hyperlink r:id="rId92">
        <w:r>
          <w:rPr>
            <w:rStyle w:val="Hyperlink"/>
          </w:rPr>
          <w:t xml:space="preserve">10/bwdsbj</w:t>
        </w:r>
      </w:hyperlink>
    </w:p>
    <w:bookmarkEnd w:id="93"/>
    <w:bookmarkStart w:id="95" w:name="X2ac9dea46f3c2390c71662ea100b230c01c2a18"/>
    <w:p>
      <w:pPr>
        <w:pStyle w:val="Bibliography"/>
      </w:pPr>
      <w:r>
        <w:t xml:space="preserve">31.</w:t>
      </w:r>
      <w:r>
        <w:t xml:space="preserve"> </w:t>
      </w:r>
      <w:r>
        <w:t xml:space="preserve">	</w:t>
      </w:r>
      <w:r>
        <w:t xml:space="preserve">Sekara V, Stopczynski A, Lehmann S. Fundamental structures of dynamic social networks. Proceedings of the National Academy of Sciences. 2016;113: 9977–9982. doi:</w:t>
      </w:r>
      <w:hyperlink r:id="rId94">
        <w:r>
          <w:rPr>
            <w:rStyle w:val="Hyperlink"/>
          </w:rPr>
          <w:t xml:space="preserve">10/f84d8f</w:t>
        </w:r>
      </w:hyperlink>
    </w:p>
    <w:bookmarkEnd w:id="95"/>
    <w:bookmarkStart w:id="97" w:name="ref-saramakiSecondsMonthsOverview2015"/>
    <w:p>
      <w:pPr>
        <w:pStyle w:val="Bibliography"/>
      </w:pPr>
      <w:r>
        <w:t xml:space="preserve">32.</w:t>
      </w:r>
      <w:r>
        <w:t xml:space="preserve"> </w:t>
      </w:r>
      <w:r>
        <w:t xml:space="preserve">	</w:t>
      </w:r>
      <w:r>
        <w:t xml:space="preserve">Saramäki J, Moro E. From seconds to months: An overview of multi-scale dynamics of mobile telephone calls. The European Physical Journal B. 2015;88: 164. doi:</w:t>
      </w:r>
      <w:hyperlink r:id="rId96">
        <w:r>
          <w:rPr>
            <w:rStyle w:val="Hyperlink"/>
          </w:rPr>
          <w:t xml:space="preserve">10/ghqvc5</w:t>
        </w:r>
      </w:hyperlink>
    </w:p>
    <w:bookmarkEnd w:id="97"/>
    <w:bookmarkStart w:id="99" w:name="Xc90cfead851782a6ba23132def5a75fad0aed13"/>
    <w:p>
      <w:pPr>
        <w:pStyle w:val="Bibliography"/>
      </w:pPr>
      <w:r>
        <w:t xml:space="preserve">33.</w:t>
      </w:r>
      <w:r>
        <w:t xml:space="preserve"> </w:t>
      </w:r>
      <w:r>
        <w:t xml:space="preserve">	</w:t>
      </w:r>
      <w:r>
        <w:t xml:space="preserve">Kossinets G. Empirical</w:t>
      </w:r>
      <w:r>
        <w:t xml:space="preserve"> </w:t>
      </w:r>
      <w:r>
        <w:t xml:space="preserve">Analysis</w:t>
      </w:r>
      <w:r>
        <w:t xml:space="preserve"> </w:t>
      </w:r>
      <w:r>
        <w:t xml:space="preserve">of an</w:t>
      </w:r>
      <w:r>
        <w:t xml:space="preserve"> </w:t>
      </w:r>
      <w:r>
        <w:t xml:space="preserve">Evolving Social Network</w:t>
      </w:r>
      <w:r>
        <w:t xml:space="preserve">. Science. 2006;311: 88–90. doi:</w:t>
      </w:r>
      <w:hyperlink r:id="rId98">
        <w:r>
          <w:rPr>
            <w:rStyle w:val="Hyperlink"/>
          </w:rPr>
          <w:t xml:space="preserve">10/bwvwz8</w:t>
        </w:r>
      </w:hyperlink>
    </w:p>
    <w:bookmarkEnd w:id="99"/>
    <w:bookmarkStart w:id="101" w:name="X126aebe61d5329fdf5f31356b05d81ee3379203"/>
    <w:p>
      <w:pPr>
        <w:pStyle w:val="Bibliography"/>
      </w:pPr>
      <w:r>
        <w:t xml:space="preserve">34.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100">
        <w:r>
          <w:rPr>
            <w:rStyle w:val="Hyperlink"/>
          </w:rPr>
          <w:t xml:space="preserve">10.1038/s41562-019-0772-6</w:t>
        </w:r>
      </w:hyperlink>
    </w:p>
    <w:bookmarkEnd w:id="101"/>
    <w:bookmarkStart w:id="102" w:name="ref-hsiehSampleSizeTables1989"/>
    <w:p>
      <w:pPr>
        <w:pStyle w:val="Bibliography"/>
      </w:pPr>
      <w:r>
        <w:t xml:space="preserve">35.</w:t>
      </w:r>
      <w:r>
        <w:t xml:space="preserve"> </w:t>
      </w:r>
      <w:r>
        <w:t xml:space="preserve">	</w:t>
      </w:r>
      <w:r>
        <w:t xml:space="preserve">Hsieh F. Sample size tables for logistic regression. Statistics in Medicine. 1989;8: 795–802.</w:t>
      </w:r>
      <w:r>
        <w:t xml:space="preserve"> </w:t>
      </w:r>
    </w:p>
    <w:bookmarkEnd w:id="102"/>
    <w:bookmarkStart w:id="103" w:name="ref-derogatislBriefSymptomInventory"/>
    <w:p>
      <w:pPr>
        <w:pStyle w:val="Bibliography"/>
      </w:pPr>
      <w:r>
        <w:t xml:space="preserve">36.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03"/>
    <w:bookmarkStart w:id="105" w:name="X88039606d7b5c64f85ee8ea71703c6bdc3d9351"/>
    <w:p>
      <w:pPr>
        <w:pStyle w:val="Bibliography"/>
      </w:pPr>
      <w:r>
        <w:t xml:space="preserve">37.</w:t>
      </w:r>
      <w:r>
        <w:t xml:space="preserve"> </w:t>
      </w:r>
      <w:r>
        <w:t xml:space="preserve">	</w:t>
      </w:r>
      <w:r>
        <w:t xml:space="preserve">Patrick CJ, Curtin JJ, Tellegen A.</w:t>
      </w:r>
      <w:r>
        <w:t xml:space="preserve"> </w:t>
      </w:r>
      <w:hyperlink r:id="rId104">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105"/>
    <w:bookmarkStart w:id="107" w:name="X7237f3e8ec0394639ac33af78d4502788e325cb"/>
    <w:p>
      <w:pPr>
        <w:pStyle w:val="Bibliography"/>
      </w:pPr>
      <w:r>
        <w:t xml:space="preserve">38.</w:t>
      </w:r>
      <w:r>
        <w:t xml:space="preserve"> </w:t>
      </w:r>
      <w:r>
        <w:t xml:space="preserve">	</w:t>
      </w:r>
      <w:r>
        <w:t xml:space="preserve">Lovibond PF, Lovibond SH.</w:t>
      </w:r>
      <w:r>
        <w:t xml:space="preserve"> </w:t>
      </w:r>
      <w:hyperlink r:id="rId106">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107"/>
    <w:bookmarkStart w:id="109" w:name="Xcae8ce16b0973d3f8a23c89fe6ee90c012f333c"/>
    <w:p>
      <w:pPr>
        <w:pStyle w:val="Bibliography"/>
      </w:pPr>
      <w:r>
        <w:t xml:space="preserve">39.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108">
        <w:r>
          <w:rPr>
            <w:rStyle w:val="Hyperlink"/>
          </w:rPr>
          <w:t xml:space="preserve">10.1080/1533256X.2011.593445</w:t>
        </w:r>
      </w:hyperlink>
    </w:p>
    <w:bookmarkEnd w:id="109"/>
    <w:bookmarkStart w:id="111" w:name="X72fdb242290119aefa439c46cdcc18630f6c0fa"/>
    <w:p>
      <w:pPr>
        <w:pStyle w:val="Bibliography"/>
      </w:pPr>
      <w:r>
        <w:t xml:space="preserve">40.</w:t>
      </w:r>
      <w:r>
        <w:t xml:space="preserve"> </w:t>
      </w:r>
      <w:r>
        <w:t xml:space="preserve">	</w:t>
      </w:r>
      <w:r>
        <w:t xml:space="preserve">Flannery BA, Volpicelli JR, Pettinati HM.</w:t>
      </w:r>
      <w:r>
        <w:t xml:space="preserve"> </w:t>
      </w:r>
      <w:hyperlink r:id="rId110">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111"/>
    <w:bookmarkStart w:id="113" w:name="X948b064f539498125570f43a275c11fe3804a5f"/>
    <w:p>
      <w:pPr>
        <w:pStyle w:val="Bibliography"/>
      </w:pPr>
      <w:r>
        <w:t xml:space="preserve">41.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112">
        <w:r>
          <w:rPr>
            <w:rStyle w:val="Hyperlink"/>
          </w:rPr>
          <w:t xml:space="preserve">10.2147/PPA.S474535</w:t>
        </w:r>
      </w:hyperlink>
    </w:p>
    <w:bookmarkEnd w:id="113"/>
    <w:bookmarkStart w:id="114" w:name="X6b0a2573c103b7c3d317f500c95e16aefc26ebb"/>
    <w:p>
      <w:pPr>
        <w:pStyle w:val="Bibliography"/>
      </w:pPr>
      <w:r>
        <w:t xml:space="preserve">42.</w:t>
      </w:r>
      <w:r>
        <w:t xml:space="preserve"> </w:t>
      </w:r>
      <w:r>
        <w:t xml:space="preserve">	</w:t>
      </w:r>
      <w:r>
        <w:t xml:space="preserve">Pew Research Center N.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Pew Research Center. 2025.</w:t>
      </w:r>
      <w:r>
        <w:t xml:space="preserve"> </w:t>
      </w:r>
    </w:p>
    <w:bookmarkEnd w:id="114"/>
    <w:bookmarkStart w:id="116" w:name="ref-baeDetectingDrinkingEpisodes2017"/>
    <w:p>
      <w:pPr>
        <w:pStyle w:val="Bibliography"/>
      </w:pPr>
      <w:r>
        <w:t xml:space="preserve">43.</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115">
        <w:r>
          <w:rPr>
            <w:rStyle w:val="Hyperlink"/>
          </w:rPr>
          <w:t xml:space="preserve">10.1145/3090051</w:t>
        </w:r>
      </w:hyperlink>
    </w:p>
    <w:bookmarkEnd w:id="116"/>
    <w:bookmarkStart w:id="118" w:name="ref-baeLeveragingMobilePhone2023"/>
    <w:p>
      <w:pPr>
        <w:pStyle w:val="Bibliography"/>
      </w:pPr>
      <w:r>
        <w:t xml:space="preserve">44.</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17">
        <w:r>
          <w:rPr>
            <w:rStyle w:val="Hyperlink"/>
          </w:rPr>
          <w:t xml:space="preserve">10.2196/39862</w:t>
        </w:r>
      </w:hyperlink>
    </w:p>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5"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7"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5"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7"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2026-04-22T21:07:15Z</dcterms:created>
  <dcterms:modified xsi:type="dcterms:W3CDTF">2026-04-22T21:07:15Z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2026-04-22</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