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is fundamentally social. A substantial body of literature demonstrates that social support and social network influences play a central role in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For example, the supportive and pro‑abstinent social environment of self‑help groups such as Alcoholics Anonymous is thought to play a major role in their efficacy</w:t>
      </w:r>
      <w:r>
        <w:t xml:space="preserve"> </w:t>
      </w:r>
      <w:r>
        <w:t xml:space="preserve">[18,21–23]</w:t>
      </w:r>
      <w:r>
        <w:t xml:space="preserve">. Conversely, maintaining relationships with heavy drinkers or individuals unsupportive of recovery is associated with poorer outcomes</w:t>
      </w:r>
      <w:r>
        <w:t xml:space="preserve"> </w:t>
      </w:r>
      <w:r>
        <w:t xml:space="preserve">[24–26]</w:t>
      </w:r>
      <w:r>
        <w:t xml:space="preserve">. The buffering hypothesis further suggests that positive social relationships mitigate stress by providing resources that promote adaptive responses</w:t>
      </w:r>
      <w:r>
        <w:t xml:space="preserve"> </w:t>
      </w:r>
      <w:r>
        <w:t xml:space="preserve">[27,28]</w:t>
      </w:r>
      <w:r>
        <w:t xml:space="preserve">, a mechanism that likely extends to lapse risk given stress’s complex relationship with substance use</w:t>
      </w:r>
      <w:r>
        <w:t xml:space="preserve"> </w:t>
      </w:r>
      <w:r>
        <w:t xml:space="preserve">[29]</w:t>
      </w:r>
      <w:r>
        <w:t xml:space="preserve">.</w:t>
      </w:r>
    </w:p>
    <w:p>
      <w:pPr>
        <w:pStyle w:val="BodyText"/>
      </w:pPr>
      <w:r>
        <w:t xml:space="preserve">Importantly, these influences unfold over time through everyday social interactions. Because many social interactions occur over the phone, cellular communication logs provide a natural window into patterns of social engagement. Social relationships are inherently dynamic</w:t>
      </w:r>
      <w:r>
        <w:t xml:space="preserve"> </w:t>
      </w:r>
      <w:r>
        <w:t xml:space="preserve">[30–33]</w:t>
      </w:r>
      <w:r>
        <w:t xml:space="preserve">, and time-stamped communication data allow for the tracking of how these interactions fluctuate over time.</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informative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 We reported the median posterior auROC and 95% CI for each model. We also specified two sets of contrasts for model comparisons: full model vs. baseline model and cellular communication model vs. a hypothetical model performing at chance (i.e., where auROC’s are 0.5 in all 30 test sets).</w:t>
      </w:r>
    </w:p>
    <w:p>
      <w:pPr>
        <w:pStyle w:val="BodyText"/>
      </w:pPr>
      <w:r>
        <w:t xml:space="preserve">We refit our full and cellular communication models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 We plotted coefficients for both models to visualize whether descriptive differences in retained cellular communication features existed when controlling for other baseline features compared to not controlling for baseline features.</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 95% CI [0.64, 0.7].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[0.66, 0.71]).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There was strong evidence that this model is performing above chance performance (100% probability) and thus capturing some signal in the data. 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[42]</w:t>
      </w:r>
      <w:r>
        <w:t xml:space="preserve"> </w:t>
      </w:r>
      <w:r>
        <w:t xml:space="preserve">and predict future</w:t>
      </w:r>
      <w:r>
        <w:t xml:space="preserve"> </w:t>
      </w:r>
      <w:r>
        <w:t xml:space="preserve">[43]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19" w:name="references"/>
    <w:p>
      <w:pPr>
        <w:pStyle w:val="Heading1"/>
      </w:pPr>
      <w:r>
        <w:t xml:space="preserve">References</w:t>
      </w:r>
    </w:p>
    <w:bookmarkStart w:id="118"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grohSocialNetworkVariables2008"/>
    <w:p>
      <w:pPr>
        <w:pStyle w:val="Bibliography"/>
      </w:pPr>
      <w:r>
        <w:t xml:space="preserve">21.</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74">
        <w:r>
          <w:rPr>
            <w:rStyle w:val="Hyperlink"/>
          </w:rPr>
          <w:t xml:space="preserve">10/b86245</w:t>
        </w:r>
      </w:hyperlink>
    </w:p>
    <w:bookmarkEnd w:id="75"/>
    <w:bookmarkStart w:id="77" w:name="ref-woffServiceProvidersPerceptions1996"/>
    <w:p>
      <w:pPr>
        <w:pStyle w:val="Bibliography"/>
      </w:pPr>
      <w:r>
        <w:t xml:space="preserve">22.</w:t>
      </w:r>
      <w:r>
        <w:t xml:space="preserve"> </w:t>
      </w:r>
      <w:r>
        <w:t xml:space="preserve">	</w:t>
      </w:r>
      <w:r>
        <w:t xml:space="preserve">Woff I, Toumbourou J, Herlihy E, Hamilton M, Wales S. Service providers’ perceptions of substance use self-help groups. Substance Use &amp; Misuse. 1996;31: 1241–1258. doi:</w:t>
      </w:r>
      <w:hyperlink r:id="rId76">
        <w:r>
          <w:rPr>
            <w:rStyle w:val="Hyperlink"/>
          </w:rPr>
          <w:t xml:space="preserve">10.3109/10826089609063976</w:t>
        </w:r>
      </w:hyperlink>
    </w:p>
    <w:bookmarkEnd w:id="77"/>
    <w:bookmarkStart w:id="79" w:name="Xca677b9b728779665dfcfc54ba66f00f69a3908"/>
    <w:p>
      <w:pPr>
        <w:pStyle w:val="Bibliography"/>
      </w:pPr>
      <w:r>
        <w:t xml:space="preserve">23.</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78">
        <w:r>
          <w:rPr>
            <w:rStyle w:val="Hyperlink"/>
          </w:rPr>
          <w:t xml:space="preserve">10/cjrpbz</w:t>
        </w:r>
      </w:hyperlink>
    </w:p>
    <w:bookmarkEnd w:id="79"/>
    <w:bookmarkStart w:id="81" w:name="ref-alvarezSocialNetworkHeavy2021"/>
    <w:p>
      <w:pPr>
        <w:pStyle w:val="Bibliography"/>
      </w:pPr>
      <w:r>
        <w:t xml:space="preserve">24.</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80">
        <w:r>
          <w:rPr>
            <w:rStyle w:val="Hyperlink"/>
          </w:rPr>
          <w:t xml:space="preserve">10/ghqvdc</w:t>
        </w:r>
      </w:hyperlink>
    </w:p>
    <w:bookmarkEnd w:id="81"/>
    <w:bookmarkStart w:id="83" w:name="ref-gordonSocialNetworksRecovery1991"/>
    <w:p>
      <w:pPr>
        <w:pStyle w:val="Bibliography"/>
      </w:pPr>
      <w:r>
        <w:t xml:space="preserve">25.</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82">
        <w:r>
          <w:rPr>
            <w:rStyle w:val="Hyperlink"/>
          </w:rPr>
          <w:t xml:space="preserve">10/dg32sj</w:t>
        </w:r>
      </w:hyperlink>
    </w:p>
    <w:bookmarkEnd w:id="83"/>
    <w:bookmarkStart w:id="85" w:name="ref-mohrGettingGettingHigh2001"/>
    <w:p>
      <w:pPr>
        <w:pStyle w:val="Bibliography"/>
      </w:pPr>
      <w:r>
        <w:t xml:space="preserve">26.</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84">
        <w:r>
          <w:rPr>
            <w:rStyle w:val="Hyperlink"/>
          </w:rPr>
          <w:t xml:space="preserve">10/ghqvc3</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5" w:name="ref-baeDetectingDrinkingEpisodes2017"/>
    <w:p>
      <w:pPr>
        <w:pStyle w:val="Bibliography"/>
      </w:pPr>
      <w:r>
        <w:t xml:space="preserve">42.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4">
        <w:r>
          <w:rPr>
            <w:rStyle w:val="Hyperlink"/>
          </w:rPr>
          <w:t xml:space="preserve">10.1145/3090051</w:t>
        </w:r>
      </w:hyperlink>
    </w:p>
    <w:bookmarkEnd w:id="115"/>
    <w:bookmarkStart w:id="117" w:name="ref-baeLeveragingMobilePhone2023"/>
    <w:p>
      <w:pPr>
        <w:pStyle w:val="Bibliography"/>
      </w:pPr>
      <w:r>
        <w:t xml:space="preserve">43.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6">
        <w:r>
          <w:rPr>
            <w:rStyle w:val="Hyperlink"/>
          </w:rPr>
          <w:t xml:space="preserve">10.2196/39862</w:t>
        </w:r>
      </w:hyperlink>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76"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74"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78" Target="https://doi.org/10/cjrpbz" TargetMode="External" /><Relationship Type="http://schemas.openxmlformats.org/officeDocument/2006/relationships/hyperlink" Id="rId82"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84"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80" Target="https://doi.org/10/ghqvdc" TargetMode="External" /><Relationship Type="http://schemas.openxmlformats.org/officeDocument/2006/relationships/hyperlink" Id="rId9" Target="https://jjcurtin.github.io/study_messages/index.qmd.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2026-04-20T14:02:22Z</dcterms:created>
  <dcterms:modified xsi:type="dcterms:W3CDTF">2026-04-20T14:02:22Z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