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2026-04-20</w:t>
      </w:r>
    </w:p>
    <w:p>
      <w:pPr>
        <w:pStyle w:val="AbstractTitle"/>
      </w:pPr>
      <w:r>
        <w:t xml:space="preserve">Abstract</w:t>
      </w:r>
    </w:p>
    <w:p>
      <w:pPr>
        <w:pStyle w:val="Abstract"/>
      </w:pPr>
      <w:r>
        <w:t xml:space="preserve">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t>
      </w:r>
    </w:p>
    <w:p>
      <w:pPr>
        <w:pStyle w:val="Abstract"/>
      </w:pPr>
      <w:r>
        <w:t xml:space="preserve">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w:t>
      </w:r>
    </w:p>
    <w:p>
      <w:pPr>
        <w:pStyle w:val="Abstract"/>
      </w:pPr>
      <w:r>
        <w:t xml:space="preserve">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w:t>
      </w:r>
    </w:p>
    <w:p>
      <w:pPr>
        <w:pStyle w:val="Abstract"/>
      </w:pPr>
      <w:r>
        <w:t xml:space="preserve">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utility in lapse prediction models.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of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Consequently, early recovery represents a critical window of vulnerability during which a lapse is more likely to escalate into relapse.</w:t>
      </w:r>
    </w:p>
    <w:p>
      <w:pPr>
        <w:pStyle w:val="BodyText"/>
      </w:pPr>
      <w:r>
        <w:t xml:space="preserve">Given the dynamic and context-dependent nature of lapse risk, there is a clear need for methods capable of identifying when and why an individual is at increased risk in real time. An automated recovery monitoring and support system powered by personal sensing and machine learning may assist with this inherently difficult task. Personal sensing of densely sampled data from individuals’ day-to-day lives can provide the inputs necessary for temporally dynamic lapse prediction</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EMA-based approaches, questions remain about the long-term feasibility of a self-report sensing method. EMA has been shown to be well tolerated among substance-using populations over relatively short periods</w:t>
      </w:r>
      <w:r>
        <w:t xml:space="preserve"> </w:t>
      </w:r>
      <w:r>
        <w:t xml:space="preserve">[12,13]</w:t>
      </w:r>
      <w:r>
        <w:t xml:space="preserve">. However, it is unclear whether individuals would be willing or able to adhere to intensive EMA protocols (e.g., four prompts per day) indefinitely. Moreover, EMA items are selected using domain expertise from decades of research on the self-report factors associated with lapse. It is possible, however, that additional lapse precipitants remain undiscovered due to small subtle changes in one’s environment, social circle, or lifestyle that cannot be easily detected via self-report.</w:t>
      </w:r>
    </w:p>
    <w:p>
      <w:pPr>
        <w:pStyle w:val="BodyText"/>
      </w:pPr>
      <w:r>
        <w:t xml:space="preserve">Cellular communication sensing may be a promising alternative or complement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Knowing a participant’s relationship to their contacts, whether they have previously drunk alcohol with a given contact, or whether that contact supports their recovery goals could fundamentally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This focus on contextualized communication is especially important because lapse occurs within one’s social context. A substantial body of literature demonstrates that social support and social network influences play a central role in drinking behavior and recovery outcomes</w:t>
      </w:r>
      <w:r>
        <w:t xml:space="preserve"> </w:t>
      </w:r>
      <w:r>
        <w:t xml:space="preserve">[14–16]</w:t>
      </w:r>
      <w:r>
        <w:t xml:space="preserve">. Positive social relationships have consistently been associated with better alcohol treatment outcomes</w:t>
      </w:r>
      <w:r>
        <w:t xml:space="preserve"> </w:t>
      </w:r>
      <w:r>
        <w:t xml:space="preserve">[17–20]</w:t>
      </w:r>
      <w:r>
        <w:t xml:space="preserve">. For example, the supportive and pro‑abstinent social environment of self‑help groups, like Alcoholics Anonymous, is thought to play a major role in their efficacy</w:t>
      </w:r>
      <w:r>
        <w:t xml:space="preserve"> </w:t>
      </w:r>
      <w:r>
        <w:t xml:space="preserve">[18,21–23]</w:t>
      </w:r>
      <w:r>
        <w:t xml:space="preserve">. Conversely, maintaining relationships with heavy drinkers or individuals unsupportive of recovery is associated with poorer outcomes</w:t>
      </w:r>
      <w:r>
        <w:t xml:space="preserve"> </w:t>
      </w:r>
      <w:r>
        <w:t xml:space="preserve">[24–26]</w:t>
      </w:r>
      <w:r>
        <w:t xml:space="preserve">. The buffering hypothesis further suggests that positive social relationships mitigate stress by providing resources that promote adaptive responses</w:t>
      </w:r>
      <w:r>
        <w:t xml:space="preserve"> </w:t>
      </w:r>
      <w:r>
        <w:t xml:space="preserve">[27,28]</w:t>
      </w:r>
      <w:r>
        <w:t xml:space="preserve">, a mechanism that likely extends to lapse risk given stress’s complex relationship with substance use</w:t>
      </w:r>
      <w:r>
        <w:t xml:space="preserve"> </w:t>
      </w:r>
      <w:r>
        <w:t xml:space="preserve">[29]</w:t>
      </w:r>
      <w:r>
        <w:t xml:space="preserve">.</w:t>
      </w:r>
    </w:p>
    <w:p>
      <w:pPr>
        <w:pStyle w:val="BodyText"/>
      </w:pPr>
      <w:r>
        <w:t xml:space="preserve">Importantly, these influences unfold over time through everyday social interactions. Because many social interactions occur over the phone, cellular communication logs provide a natural window into patterns of social engagement. Social relationships are inherently dynamic</w:t>
      </w:r>
      <w:r>
        <w:t xml:space="preserve"> </w:t>
      </w:r>
      <w:r>
        <w:t xml:space="preserve">[30–33]</w:t>
      </w:r>
      <w:r>
        <w:t xml:space="preserve">, and time-stamped communication data allow for the tracking of how these interactions fluctuate over time.</w:t>
      </w:r>
    </w:p>
    <w:p>
      <w:pPr>
        <w:pStyle w:val="BodyText"/>
      </w:pPr>
      <w:r>
        <w:t xml:space="preserve">In this study, we evaluated whether contextualized cellular communication features contain clinically meaningful signals for predicting next-day alcohol lapse risk among individuals in early recovery from AUD. Using a machine learning approach, we examined the predictive utility of these features and identified the most important communication-based features, with the goal of uncovering novel, clinically relevant predictors of lapse risk.</w:t>
      </w:r>
    </w:p>
    <w:bookmarkEnd w:id="10"/>
    <w:bookmarkStart w:id="22" w:name="methods"/>
    <w:p>
      <w:pPr>
        <w:pStyle w:val="Heading1"/>
      </w:pPr>
      <w:r>
        <w:t xml:space="preserve">Methods</w:t>
      </w:r>
    </w:p>
    <w:bookmarkStart w:id="12"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[34]</w:t>
      </w:r>
      <w:r>
        <w:t xml:space="preserve"> </w:t>
      </w:r>
      <w:r>
        <w:t xml:space="preserve">in the supplement. Second, our features, labels, questionnaires, code, and other study materials are publicly available on our Open Science Framework (OSF) page (</w:t>
      </w:r>
      <w:hyperlink r:id="rId11">
        <w:r>
          <w:rPr>
            <w:rStyle w:val="Hyperlink"/>
          </w:rPr>
          <w:t xml:space="preserve">https://osf.io/wgpz9/</w:t>
        </w:r>
      </w:hyperlink>
      <w:r>
        <w:t xml:space="preserve">).</w:t>
      </w:r>
    </w:p>
    <w:bookmarkEnd w:id="12"/>
    <w:bookmarkStart w:id="13"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[35]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[36]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[37]</w:t>
      </w:r>
      <w:r>
        <w:t xml:space="preserve">, and psychiatric symptoms</w:t>
      </w:r>
      <w:r>
        <w:t xml:space="preserve"> </w:t>
      </w:r>
      <w:r>
        <w:t xml:space="preserve">[36,38]</w:t>
      </w:r>
      <w:r>
        <w:t xml:space="preserve">). At the intake visit, approximately two weeks after screening, we collected additional self-report data on abstinence self-efficacy</w:t>
      </w:r>
      <w:r>
        <w:t xml:space="preserve"> </w:t>
      </w:r>
      <w:r>
        <w:t xml:space="preserve">[39]</w:t>
      </w:r>
      <w:r>
        <w:t xml:space="preserve">, craving</w:t>
      </w:r>
      <w:r>
        <w:t xml:space="preserve"> </w:t>
      </w:r>
      <w:r>
        <w:t xml:space="preserve">[40]</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21" w:name="data-analysis-plan"/>
    <w:p>
      <w:pPr>
        <w:pStyle w:val="Heading2"/>
      </w:pPr>
      <w:r>
        <w:t xml:space="preserve">Data Analysis Plan</w:t>
      </w:r>
    </w:p>
    <w:bookmarkStart w:id="15"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5"/>
    <w:bookmarkStart w:id="18"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their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of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the feature set each predictor belongs to, feature engineering procedures used, scoring epochs (for cellular communication features only), and the total number of features derived from the raw predictor. We had no missing data across baseline measures of demographics, alcohol use characteristics, and psychiatric and personality characteristics. If no cellular communication data were observed during a feature scoring epoch that feature was scored 0, thus there were also no missing data among cellular communication features. Other feature engineering steps performed during cross-validation included standardizing all features and removing zero and near-zero variance features as determined from held-in data (code for our full data pre-processing pipeline is available on our OSF page [(</w:t>
      </w:r>
      <w:hyperlink r:id="rId11">
        <w:r>
          <w:rPr>
            <w:rStyle w:val="Hyperlink"/>
          </w:rPr>
          <w:t xml:space="preserve">https://osf.io/wgpz9/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1"/>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Predictor</w:t>
                  </w:r>
                </w:p>
              </w:tc>
              <w:tc>
                <w:tcPr/>
                <w:p>
                  <w:pPr>
                    <w:pStyle w:val="Compact"/>
                    <w:jc w:val="left"/>
                    <w:jc w:val="center"/>
                  </w:pPr>
                  <w:r>
                    <w:t xml:space="preserve">Feature Set</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r>
            <w:tr>
              <w:tc>
                <w:tcPr/>
                <w:p>
                  <w:pPr>
                    <w:pStyle w:val="Compact"/>
                    <w:jc w:val="left"/>
                    <w:jc w:val="center"/>
                  </w:pPr>
                  <w:r>
                    <w:t xml:space="preserve">Originated</w:t>
                  </w:r>
                </w:p>
              </w:tc>
              <w:tc>
                <w:tcPr/>
                <w:p>
                  <w:pPr>
                    <w:pStyle w:val="Compact"/>
                    <w:jc w:val="left"/>
                    <w:jc w:val="center"/>
                  </w:pPr>
                  <w:r>
                    <w:t xml:space="preserve">Cellular communication</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Call duration</w:t>
                  </w:r>
                </w:p>
              </w:tc>
              <w:tc>
                <w:tcPr/>
                <w:p>
                  <w:pPr>
                    <w:pStyle w:val="Compact"/>
                    <w:jc w:val="left"/>
                    <w:jc w:val="center"/>
                  </w:pPr>
                  <w:r>
                    <w:t xml:space="preserve">Cellular communication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24 and 1 week</w:t>
                  </w:r>
                </w:p>
              </w:tc>
              <w:tc>
                <w:tcPr/>
                <w:p>
                  <w:pPr>
                    <w:pStyle w:val="Compact"/>
                    <w:jc w:val="right"/>
                    <w:jc w:val="center"/>
                  </w:pPr>
                  <w:r>
                    <w:t xml:space="preserve">6</w:t>
                  </w:r>
                </w:p>
              </w:tc>
            </w:tr>
            <w:tr>
              <w:tc>
                <w:tcPr/>
                <w:p>
                  <w:pPr>
                    <w:pStyle w:val="Compact"/>
                    <w:jc w:val="left"/>
                    <w:jc w:val="center"/>
                  </w:pPr>
                  <w:r>
                    <w:t xml:space="preserve">Call answered</w:t>
                  </w:r>
                </w:p>
              </w:tc>
              <w:tc>
                <w:tcPr/>
                <w:p>
                  <w:pPr>
                    <w:pStyle w:val="Compact"/>
                    <w:jc w:val="left"/>
                    <w:jc w:val="center"/>
                  </w:pPr>
                  <w:r>
                    <w:t xml:space="preserve">Cellular communication</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 (i.e., response option = no)</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Date/time of communication</w:t>
                  </w:r>
                </w:p>
              </w:tc>
              <w:tc>
                <w:tcPr/>
                <w:p>
                  <w:pPr>
                    <w:pStyle w:val="Compact"/>
                    <w:jc w:val="left"/>
                    <w:jc w:val="center"/>
                  </w:pPr>
                  <w:r>
                    <w:t xml:space="preserve">Cellular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pm-6am) and on weekends (Friday-Saturday)</w:t>
                  </w:r>
                </w:p>
              </w:tc>
              <w:tc>
                <w:tcPr/>
                <w:p>
                  <w:pPr>
                    <w:pStyle w:val="Compact"/>
                    <w:jc w:val="left"/>
                    <w:jc w:val="center"/>
                  </w:pPr>
                  <w:r>
                    <w:t xml:space="preserve">24 hours and 1 week (only 1 week used for weekend features)</w:t>
                  </w:r>
                </w:p>
              </w:tc>
              <w:tc>
                <w:tcPr/>
                <w:p>
                  <w:pPr>
                    <w:pStyle w:val="Compact"/>
                    <w:jc w:val="right"/>
                    <w:jc w:val="center"/>
                  </w:pPr>
                  <w:r>
                    <w:t xml:space="preserve">12</w:t>
                  </w:r>
                </w:p>
              </w:tc>
            </w:tr>
            <w:tr>
              <w:tc>
                <w:tcPr/>
                <w:p>
                  <w:pPr>
                    <w:pStyle w:val="Compact"/>
                    <w:jc w:val="left"/>
                    <w:jc w:val="center"/>
                  </w:pPr>
                  <w:r>
                    <w:t xml:space="preserve">Phone number</w:t>
                  </w:r>
                </w:p>
              </w:tc>
              <w:tc>
                <w:tcPr/>
                <w:p>
                  <w:pPr>
                    <w:pStyle w:val="Compact"/>
                    <w:jc w:val="left"/>
                    <w:jc w:val="center"/>
                  </w:pPr>
                  <w:r>
                    <w:t xml:space="preserve">Cellular communication</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Type of Relationship</w:t>
                  </w:r>
                </w:p>
              </w:tc>
              <w:tc>
                <w:tcPr/>
                <w:p>
                  <w:pPr>
                    <w:pStyle w:val="Compact"/>
                    <w:jc w:val="left"/>
                    <w:jc w:val="center"/>
                  </w:pPr>
                  <w:r>
                    <w:t xml:space="preserve">Cellular communication</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Have you drank alcohol with this person?</w:t>
                  </w:r>
                </w:p>
              </w:tc>
              <w:tc>
                <w:tcPr/>
                <w:p>
                  <w:pPr>
                    <w:pStyle w:val="Compact"/>
                    <w:jc w:val="left"/>
                    <w:jc w:val="center"/>
                  </w:pPr>
                  <w:r>
                    <w:t xml:space="preserve">Cellular communication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What is their drinking status?</w:t>
                  </w:r>
                </w:p>
              </w:tc>
              <w:tc>
                <w:tcPr/>
                <w:p>
                  <w:pPr>
                    <w:pStyle w:val="Compact"/>
                    <w:jc w:val="left"/>
                    <w:jc w:val="center"/>
                  </w:pPr>
                  <w:r>
                    <w:t xml:space="preserve">Cellular communication</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Would you expect them to drink in your presence?</w:t>
                  </w:r>
                </w:p>
              </w:tc>
              <w:tc>
                <w:tcPr/>
                <w:p>
                  <w:pPr>
                    <w:pStyle w:val="Compact"/>
                    <w:jc w:val="left"/>
                    <w:jc w:val="center"/>
                  </w:pPr>
                  <w:r>
                    <w:t xml:space="preserve">Cellular communication</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currently in recovery from drugs or alcohol?</w:t>
                  </w:r>
                </w:p>
              </w:tc>
              <w:tc>
                <w:tcPr/>
                <w:p>
                  <w:pPr>
                    <w:pStyle w:val="Compact"/>
                    <w:jc w:val="left"/>
                    <w:jc w:val="center"/>
                  </w:pPr>
                  <w:r>
                    <w:t xml:space="preserve">Cellular communication</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supportive about your recovery goals?</w:t>
                  </w:r>
                </w:p>
              </w:tc>
              <w:tc>
                <w:tcPr/>
                <w:p>
                  <w:pPr>
                    <w:pStyle w:val="Compact"/>
                    <w:jc w:val="left"/>
                    <w:jc w:val="center"/>
                  </w:pPr>
                  <w:r>
                    <w:t xml:space="preserve">Cellular communication</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20</w:t>
                  </w:r>
                </w:p>
              </w:tc>
            </w:tr>
            <w:tr>
              <w:tc>
                <w:tcPr/>
                <w:p>
                  <w:pPr>
                    <w:pStyle w:val="Compact"/>
                    <w:jc w:val="left"/>
                    <w:jc w:val="center"/>
                  </w:pPr>
                  <w:r>
                    <w:t xml:space="preserve">How are your typical experiences with this person?</w:t>
                  </w:r>
                </w:p>
              </w:tc>
              <w:tc>
                <w:tcPr/>
                <w:p>
                  <w:pPr>
                    <w:pStyle w:val="Compact"/>
                    <w:jc w:val="left"/>
                    <w:jc w:val="center"/>
                  </w:pPr>
                  <w:r>
                    <w:t xml:space="preserve">Cellular communication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Age</w:t>
                  </w:r>
                </w:p>
              </w:tc>
              <w:tc>
                <w:tcPr/>
                <w:p>
                  <w:pPr>
                    <w:pStyle w:val="Compact"/>
                    <w:jc w:val="left"/>
                    <w:jc w:val="center"/>
                  </w:pPr>
                  <w:r>
                    <w:t xml:space="preserve">Demographics</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Sex at birth</w:t>
                  </w:r>
                </w:p>
              </w:tc>
              <w:tc>
                <w:tcPr/>
                <w:p>
                  <w:pPr>
                    <w:pStyle w:val="Compact"/>
                    <w:jc w:val="left"/>
                    <w:jc w:val="center"/>
                  </w:pPr>
                  <w:r>
                    <w:t xml:space="preserve">Demographics</w:t>
                  </w:r>
                </w:p>
              </w:tc>
              <w:tc>
                <w:tcPr/>
                <w:p>
                  <w:pPr>
                    <w:pStyle w:val="Compact"/>
                    <w:jc w:val="left"/>
                    <w:jc w:val="center"/>
                  </w:pPr>
                  <w:r>
                    <w:t xml:space="preserve">Male, female</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Race</w:t>
                  </w:r>
                </w:p>
              </w:tc>
              <w:tc>
                <w:tcPr/>
                <w:p>
                  <w:pPr>
                    <w:pStyle w:val="Compact"/>
                    <w:jc w:val="left"/>
                    <w:jc w:val="center"/>
                  </w:pPr>
                  <w:r>
                    <w:t xml:space="preserve">Demographics</w:t>
                  </w:r>
                </w:p>
              </w:tc>
              <w:tc>
                <w:tcPr/>
                <w:p>
                  <w:pPr>
                    <w:pStyle w:val="Compact"/>
                    <w:jc w:val="left"/>
                    <w:jc w:val="center"/>
                  </w:pPr>
                  <w:r>
                    <w:t xml:space="preserve">Non-Hispanic White, non-White and/or Hispanic</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Education</w:t>
                  </w:r>
                </w:p>
              </w:tc>
              <w:tc>
                <w:tcPr/>
                <w:p>
                  <w:pPr>
                    <w:pStyle w:val="Compact"/>
                    <w:jc w:val="left"/>
                    <w:jc w:val="center"/>
                  </w:pPr>
                  <w:r>
                    <w:t xml:space="preserve">Demographics</w:t>
                  </w:r>
                </w:p>
              </w:tc>
              <w:tc>
                <w:tcPr/>
                <w:p>
                  <w:pPr>
                    <w:pStyle w:val="Compact"/>
                    <w:jc w:val="left"/>
                    <w:jc w:val="center"/>
                  </w:pPr>
                  <w:r>
                    <w:t xml:space="preserve">High school or less, some college, college degree</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Income</w:t>
                  </w:r>
                </w:p>
              </w:tc>
              <w:tc>
                <w:tcPr/>
                <w:p>
                  <w:pPr>
                    <w:pStyle w:val="Compact"/>
                    <w:jc w:val="left"/>
                    <w:jc w:val="center"/>
                  </w:pPr>
                  <w:r>
                    <w:t xml:space="preserve">Demographics</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Marital Status</w:t>
                  </w:r>
                </w:p>
              </w:tc>
              <w:tc>
                <w:tcPr/>
                <w:p>
                  <w:pPr>
                    <w:pStyle w:val="Compact"/>
                    <w:jc w:val="left"/>
                    <w:jc w:val="center"/>
                  </w:pPr>
                  <w:r>
                    <w:t xml:space="preserve">Demographics</w:t>
                  </w:r>
                </w:p>
              </w:tc>
              <w:tc>
                <w:tcPr/>
                <w:p>
                  <w:pPr>
                    <w:pStyle w:val="Compact"/>
                    <w:jc w:val="left"/>
                    <w:jc w:val="center"/>
                  </w:pPr>
                  <w:r>
                    <w:t xml:space="preserve">Married, not married, other</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DSM-5 symptom count</w:t>
                  </w:r>
                </w:p>
              </w:tc>
              <w:tc>
                <w:tcPr/>
                <w:p>
                  <w:pPr>
                    <w:pStyle w:val="Compact"/>
                    <w:jc w:val="left"/>
                    <w:jc w:val="center"/>
                  </w:pPr>
                  <w:r>
                    <w:t xml:space="preserve">Alcohol use</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Craving</w:t>
                  </w:r>
                </w:p>
              </w:tc>
              <w:tc>
                <w:tcPr/>
                <w:p>
                  <w:pPr>
                    <w:pStyle w:val="Compact"/>
                    <w:jc w:val="left"/>
                    <w:jc w:val="center"/>
                  </w:pPr>
                  <w:r>
                    <w:t xml:space="preserve">Alcohol use</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Alcohol use</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self-help group meetings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Confidence in abstinence ability (next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Has a goal of abstinence</w:t>
                  </w:r>
                </w:p>
              </w:tc>
              <w:tc>
                <w:tcPr/>
                <w:p>
                  <w:pPr>
                    <w:pStyle w:val="Compact"/>
                    <w:jc w:val="left"/>
                    <w:jc w:val="center"/>
                  </w:pPr>
                  <w:r>
                    <w:t xml:space="preserve">Alcohol use</w:t>
                  </w:r>
                </w:p>
              </w:tc>
              <w:tc>
                <w:tcPr/>
                <w:p>
                  <w:pPr>
                    <w:pStyle w:val="Compact"/>
                    <w:jc w:val="left"/>
                    <w:jc w:val="center"/>
                  </w:pPr>
                  <w:r>
                    <w:t xml:space="preserve">Yes, no, uncertain</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Personality dimensions (positive emotionality, negative emotionality, and constraint)</w:t>
                  </w:r>
                </w:p>
              </w:tc>
              <w:tc>
                <w:tcPr/>
                <w:p>
                  <w:pPr>
                    <w:pStyle w:val="Compact"/>
                    <w:jc w:val="left"/>
                    <w:jc w:val="center"/>
                  </w:pPr>
                  <w:r>
                    <w:t xml:space="preserve">Personality/psychiatric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Psychiatric conditions (depression, anxiety, and stress)</w:t>
                  </w:r>
                </w:p>
              </w:tc>
              <w:tc>
                <w:tcPr/>
                <w:p>
                  <w:pPr>
                    <w:pStyle w:val="Compact"/>
                    <w:jc w:val="left"/>
                    <w:jc w:val="center"/>
                  </w:pPr>
                  <w:r>
                    <w:t xml:space="preserve">Personality/psychiatric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two feature scoring epochs (24 hours and 1 week before the start of the prediction window). Within each feature scoring epoch we calculated two types of features: raw and difference features. Raw features represent the raw feature value calculated within a scoring epoch (e.g., the rate count of text messages during the 24 hours immediately preceding the start of the prediction window). Difference features capture participant-level changes from their baseline scores (e.g., the participant’s average rate count of text messages across all time on study subtracted from the rate count in the preceding 24 hours).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and Total Number of Features for each feature set.</w:t>
            </w:r>
          </w:p>
          <w:bookmarkEnd w:id="16"/>
        </w:tc>
      </w:tr>
    </w:tbl>
    <w:p>
      <w:pPr>
        <w:pStyle w:val="BodyText"/>
      </w:pPr>
      <w:r>
        <w:rPr>
          <w:vertAlign w:val="subscript"/>
        </w:rPr>
        <w:t xml:space="preserve">Source:</w:t>
      </w:r>
      <w:r>
        <w:rPr>
          <w:vertAlign w:val="subscript"/>
        </w:rPr>
        <w:t xml:space="preserve"> </w:t>
      </w:r>
      <w:hyperlink r:id="rId17">
        <w:r>
          <w:rPr>
            <w:rStyle w:val="Hyperlink"/>
            <w:vertAlign w:val="subscript"/>
          </w:rPr>
          <w:t xml:space="preserve">Make All Tables for Main Manuscript</w:t>
        </w:r>
      </w:hyperlink>
    </w:p>
    <w:bookmarkEnd w:id="18"/>
    <w:bookmarkStart w:id="19"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from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19"/>
    <w:bookmarkStart w:id="20" w:name="model-evaluation"/>
    <w:p>
      <w:pPr>
        <w:pStyle w:val="Heading3"/>
      </w:pPr>
      <w:r>
        <w:t xml:space="preserve">Model Evaluation</w:t>
      </w:r>
    </w:p>
    <w:p>
      <w:pPr>
        <w:pStyle w:val="FirstParagraph"/>
      </w:pPr>
      <w:r>
        <w:t xml:space="preserve">We evaluated model performance for our three final models (full model, baseline model, cellular communication model) using a Bayesian hierarchical generalized linear model. Posterior distributions with 95% credible intervals (CI) were estimated from the 30 held-out folds using weakly informative, data-dependent priors to regularize and reduce overfitting: Residual SD ~ exponential(2.3); intercept (centered predictors) ~ normal(0.62, 1.1); fixed effects ~ normal(0, 2.27); covariance ~ decov(1, 1, 1, 1). Random intercepts were included for repeat and fold (nested within repeat). We reported the median posterior auROC and 95% CI for each model. We also specified specified a single model contrast: full model vs. baseline model. auROCs were logit-transformed and regressed on model contrast to estimate the probability that model performances differed systematically.</w:t>
      </w:r>
    </w:p>
    <w:p>
      <w:pPr>
        <w:pStyle w:val="BodyText"/>
      </w:pPr>
      <w:r>
        <w:t xml:space="preserve">We refit our full model on the entire data set to identify the most important features. We quantified feature importance by examining the retained features (i.e., coefficient value &gt; 0) in our final elastic net model and ordering them by absolute coefficient value. These values provide an estimate of the direction and magnitude of association between each predictor and the outcome, conditional on the other features retained.</w:t>
      </w:r>
    </w:p>
    <w:bookmarkEnd w:id="20"/>
    <w:bookmarkEnd w:id="21"/>
    <w:bookmarkEnd w:id="22"/>
    <w:bookmarkStart w:id="33" w:name="results"/>
    <w:p>
      <w:pPr>
        <w:pStyle w:val="Heading1"/>
      </w:pPr>
      <w:r>
        <w:t xml:space="preserve">Results</w:t>
      </w:r>
    </w:p>
    <w:bookmarkStart w:id="25"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all text messages and voice calls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final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Tables for Main Manuscript</w:t>
        </w:r>
      </w:hyperlink>
    </w:p>
    <w:bookmarkEnd w:id="25"/>
    <w:bookmarkStart w:id="2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6"/>
    <w:bookmarkStart w:id="32" w:name="model-evaluation-1"/>
    <w:p>
      <w:pPr>
        <w:pStyle w:val="Heading2"/>
      </w:pPr>
      <w:r>
        <w:t xml:space="preserve">Model Evaluation</w:t>
      </w:r>
    </w:p>
    <w:p>
      <w:pPr>
        <w:pStyle w:val="FirstParagraph"/>
      </w:pPr>
      <w:r>
        <w:t xml:space="preserve">The median posterior auROC for the best performing full model was 0.674, 95% CI [0.639, 0.707]. The final model fit on the full data set retained 10 features (</w:t>
      </w:r>
      <w:hyperlink w:anchor="fig-1">
        <w:r>
          <w:rPr>
            <w:rStyle w:val="Hyperlink"/>
          </w:rPr>
          <w:t xml:space="preserve">Figure 1</w:t>
        </w:r>
      </w:hyperlink>
      <w:r>
        <w:t xml:space="preserve">). The top four features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Frequency of communications with drinkers, friends, and people unaware of the individual’s recovery goals, and number of unique contacts emerged as important risk factors. Frequency of communications with non-drinkers, conversely, was an important protective factor.</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0.687, 95% CI [0.653, 0.718]). However, the median difference in auROC was only 0.013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0.588, 95% CI [0.550, 0.624]. 100% of the sampled posteriors were above 0.5 indicating strong evidence that the model is performing above chance performance (i.e., it is capturing some risk-relevant signal in the data). Four of the five cellular communication features retained in the full model were also retained in the cellular communication model. Number of unique contacts did not get retained in the cellular communication model, although it was retained in the full model with a very small coefficient. No new important features beyond those retained in the full model emerged in the cellular communication model.</w:t>
      </w:r>
    </w:p>
    <w:tbl>
      <w:tblPr>
        <w:tblStyle w:val="Table"/>
        <w:tblW w:type="pct" w:w="5000"/>
        <w:tblLayout w:type="fixed"/>
        <w:tblLook w:firstRow="0" w:lastRow="0" w:firstColumn="0" w:lastColumn="0" w:noHBand="0" w:noVBand="0" w:val="0000"/>
      </w:tblPr>
      <w:tblGrid>
        <w:gridCol w:w="7920"/>
      </w:tblGrid>
      <w:tr>
        <w:tc>
          <w:tcPr/>
          <w:bookmarkStart w:id="30" w:name="fig-1"/>
          <w:p>
            <w:pPr>
              <w:pStyle w:val="Compact"/>
              <w:jc w:val="center"/>
            </w:pPr>
            <w:r>
              <w:drawing>
                <wp:inline>
                  <wp:extent cx="5334000" cy="3333749"/>
                  <wp:effectExtent b="0" l="0" r="0" t="0"/>
                  <wp:docPr descr="" title="" id="28" name="Picture"/>
                  <a:graphic>
                    <a:graphicData uri="http://schemas.openxmlformats.org/drawingml/2006/picture">
                      <pic:pic>
                        <pic:nvPicPr>
                          <pic:cNvPr descr="index_files/figure-docx/notebooks-mak_figures-fig-1-output-1.png" id="29" name="Picture"/>
                          <pic:cNvPicPr>
                            <a:picLocks noChangeArrowheads="1" noChangeAspect="1"/>
                          </pic:cNvPicPr>
                        </pic:nvPicPr>
                        <pic:blipFill>
                          <a:blip r:embed="rId2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model.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0"/>
        </w:tc>
      </w:tr>
    </w:tbl>
    <w:p>
      <w:pPr>
        <w:pStyle w:val="BodyText"/>
      </w:pPr>
      <w:r>
        <w:rPr>
          <w:vertAlign w:val="subscript"/>
        </w:rPr>
        <w:t xml:space="preserve">Source:</w:t>
      </w:r>
      <w:r>
        <w:rPr>
          <w:vertAlign w:val="subscript"/>
        </w:rPr>
        <w:t xml:space="preserve"> </w:t>
      </w:r>
      <w:hyperlink r:id="rId31">
        <w:r>
          <w:rPr>
            <w:rStyle w:val="Hyperlink"/>
            <w:vertAlign w:val="subscript"/>
          </w:rPr>
          <w:t xml:space="preserve">Make All Figures for Main Manuscript</w:t>
        </w:r>
      </w:hyperlink>
    </w:p>
    <w:bookmarkEnd w:id="32"/>
    <w:bookmarkEnd w:id="33"/>
    <w:bookmarkStart w:id="34" w:name="discussion"/>
    <w:p>
      <w:pPr>
        <w:pStyle w:val="Heading1"/>
      </w:pPr>
      <w:r>
        <w:t xml:space="preserve">Discussion</w:t>
      </w:r>
    </w:p>
    <w:p>
      <w:pPr>
        <w:pStyle w:val="FirstParagraph"/>
      </w:pPr>
      <w:r>
        <w:t xml:space="preserve">Our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[41]</w:t>
      </w:r>
      <w:r>
        <w:t xml:space="preserve">.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[42]</w:t>
      </w:r>
      <w:r>
        <w:t xml:space="preserve"> </w:t>
      </w:r>
      <w:r>
        <w:t xml:space="preserve">and predict future</w:t>
      </w:r>
      <w:r>
        <w:t xml:space="preserve"> </w:t>
      </w:r>
      <w:r>
        <w:t xml:space="preserve">[43]</w:t>
      </w:r>
      <w:r>
        <w:t xml:space="preserve"> </w:t>
      </w:r>
      <w:r>
        <w:t xml:space="preserve">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4"/>
    <w:bookmarkStart w:id="35" w:name="acknowledgments"/>
    <w:p>
      <w:pPr>
        <w:pStyle w:val="Heading1"/>
      </w:pPr>
      <w:r>
        <w:t xml:space="preserve">Acknowledgments</w:t>
      </w:r>
    </w:p>
    <w:p>
      <w:pPr>
        <w:pStyle w:val="FirstParagraph"/>
      </w:pPr>
      <w:r>
        <w:t xml:space="preserve">The authors wish to thank Susan E. Wanta for her role as the project administrator.</w:t>
      </w:r>
    </w:p>
    <w:bookmarkEnd w:id="35"/>
    <w:bookmarkStart w:id="36"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6"/>
    <w:bookmarkStart w:id="37"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7"/>
    <w:bookmarkStart w:id="38"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8"/>
    <w:bookmarkStart w:id="39"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39"/>
    <w:bookmarkStart w:id="119" w:name="references"/>
    <w:p>
      <w:pPr>
        <w:pStyle w:val="Heading1"/>
      </w:pPr>
      <w:r>
        <w:t xml:space="preserve">References</w:t>
      </w:r>
    </w:p>
    <w:bookmarkStart w:id="118" w:name="refs"/>
    <w:bookmarkStart w:id="41"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0">
        <w:r>
          <w:rPr>
            <w:rStyle w:val="Hyperlink"/>
          </w:rPr>
          <w:t xml:space="preserve">10.1001/jama.284.13.1689</w:t>
        </w:r>
      </w:hyperlink>
    </w:p>
    <w:bookmarkEnd w:id="41"/>
    <w:bookmarkStart w:id="43" w:name="ref-dennisManagingAddictionChronic2007"/>
    <w:p>
      <w:pPr>
        <w:pStyle w:val="Bibliography"/>
      </w:pPr>
      <w:r>
        <w:t xml:space="preserve">2.</w:t>
      </w:r>
      <w:r>
        <w:t xml:space="preserve"> </w:t>
      </w:r>
      <w:r>
        <w:t xml:space="preserve">	</w:t>
      </w:r>
      <w:r>
        <w:t xml:space="preserve">Dennis M, Scott CK.</w:t>
      </w:r>
      <w:r>
        <w:t xml:space="preserve"> </w:t>
      </w:r>
      <w:hyperlink r:id="rId42">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3"/>
    <w:bookmarkStart w:id="44"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4"/>
    <w:bookmarkStart w:id="45"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45"/>
    <w:bookmarkStart w:id="46"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46"/>
    <w:bookmarkStart w:id="48"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47">
        <w:r>
          <w:rPr>
            <w:rStyle w:val="Hyperlink"/>
          </w:rPr>
          <w:t xml:space="preserve">10.1093/med-psych/9780190926717.003.0018</w:t>
        </w:r>
      </w:hyperlink>
    </w:p>
    <w:bookmarkEnd w:id="48"/>
    <w:bookmarkStart w:id="50"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49">
        <w:r>
          <w:rPr>
            <w:rStyle w:val="Hyperlink"/>
          </w:rPr>
          <w:t xml:space="preserve">10.1007/978-3-030-56958-7_6</w:t>
        </w:r>
      </w:hyperlink>
    </w:p>
    <w:bookmarkEnd w:id="50"/>
    <w:bookmarkStart w:id="52"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51">
        <w:r>
          <w:rPr>
            <w:rStyle w:val="Hyperlink"/>
          </w:rPr>
          <w:t xml:space="preserve">10.1146/annurev-clinpsy-032816-044949</w:t>
        </w:r>
      </w:hyperlink>
    </w:p>
    <w:bookmarkEnd w:id="52"/>
    <w:bookmarkStart w:id="54"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53">
        <w:r>
          <w:rPr>
            <w:rStyle w:val="Hyperlink"/>
          </w:rPr>
          <w:t xml:space="preserve">10.1016/j.jsat.2013.08.004</w:t>
        </w:r>
      </w:hyperlink>
    </w:p>
    <w:bookmarkEnd w:id="54"/>
    <w:bookmarkStart w:id="56"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5">
        <w:r>
          <w:rPr>
            <w:rStyle w:val="Hyperlink"/>
          </w:rPr>
          <w:t xml:space="preserve">10.1037/abn0000901</w:t>
        </w:r>
      </w:hyperlink>
    </w:p>
    <w:bookmarkEnd w:id="56"/>
    <w:bookmarkStart w:id="57"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7"/>
    <w:bookmarkStart w:id="59"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58">
        <w:r>
          <w:rPr>
            <w:rStyle w:val="Hyperlink"/>
          </w:rPr>
          <w:t xml:space="preserve">10/gfsjzg</w:t>
        </w:r>
      </w:hyperlink>
    </w:p>
    <w:bookmarkEnd w:id="59"/>
    <w:bookmarkStart w:id="61"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60">
        <w:r>
          <w:rPr>
            <w:rStyle w:val="Hyperlink"/>
          </w:rPr>
          <w:t xml:space="preserve">10.2196/41833</w:t>
        </w:r>
      </w:hyperlink>
    </w:p>
    <w:bookmarkEnd w:id="61"/>
    <w:bookmarkStart w:id="63" w:name="Xe80ec35a54976c698ffc95801360289b0b6042f"/>
    <w:p>
      <w:pPr>
        <w:pStyle w:val="Bibliography"/>
      </w:pPr>
      <w:r>
        <w:t xml:space="preserve">14.</w:t>
      </w:r>
      <w:r>
        <w:t xml:space="preserve"> </w:t>
      </w:r>
      <w:r>
        <w:t xml:space="preserve">	</w:t>
      </w:r>
      <w:r>
        <w:t xml:space="preserve">Hunter-Reel D, McCrady B, Hildebrandt T. Emphasizing interpersonal factors: An extension of the</w:t>
      </w:r>
      <w:r>
        <w:t xml:space="preserve"> </w:t>
      </w:r>
      <w:r>
        <w:t xml:space="preserve">Witkiewitz</w:t>
      </w:r>
      <w:r>
        <w:t xml:space="preserve"> </w:t>
      </w:r>
      <w:r>
        <w:t xml:space="preserve">and</w:t>
      </w:r>
      <w:r>
        <w:t xml:space="preserve"> </w:t>
      </w:r>
      <w:r>
        <w:t xml:space="preserve">Marlatt</w:t>
      </w:r>
      <w:r>
        <w:t xml:space="preserve"> </w:t>
      </w:r>
      <w:r>
        <w:t xml:space="preserve">relapse model. Addiction. 2009;104: 1281–1290. doi:</w:t>
      </w:r>
      <w:hyperlink r:id="rId62">
        <w:r>
          <w:rPr>
            <w:rStyle w:val="Hyperlink"/>
          </w:rPr>
          <w:t xml:space="preserve">10/bqvzsj</w:t>
        </w:r>
      </w:hyperlink>
    </w:p>
    <w:bookmarkEnd w:id="63"/>
    <w:bookmarkStart w:id="65" w:name="X9a3ed819ea886023ba0a153b2b6e5a12d29c458"/>
    <w:p>
      <w:pPr>
        <w:pStyle w:val="Bibliography"/>
      </w:pPr>
      <w:r>
        <w:t xml:space="preserve">15.</w:t>
      </w:r>
      <w:r>
        <w:t xml:space="preserve"> </w:t>
      </w:r>
      <w:r>
        <w:t xml:space="preserve">	</w:t>
      </w:r>
      <w:r>
        <w:t xml:space="preserve">Witkiewitz K, Marlatt GA. Emphasis on</w:t>
      </w:r>
      <w:r>
        <w:t xml:space="preserve"> </w:t>
      </w:r>
      <w:r>
        <w:t xml:space="preserve">Interpersonal Factors</w:t>
      </w:r>
      <w:r>
        <w:t xml:space="preserve"> </w:t>
      </w:r>
      <w:r>
        <w:t xml:space="preserve">in a</w:t>
      </w:r>
      <w:r>
        <w:t xml:space="preserve"> </w:t>
      </w:r>
      <w:r>
        <w:t xml:space="preserve">Dynamic Model</w:t>
      </w:r>
      <w:r>
        <w:t xml:space="preserve"> </w:t>
      </w:r>
      <w:r>
        <w:t xml:space="preserve">of</w:t>
      </w:r>
      <w:r>
        <w:t xml:space="preserve"> </w:t>
      </w:r>
      <w:r>
        <w:t xml:space="preserve">Relapse</w:t>
      </w:r>
      <w:r>
        <w:t xml:space="preserve">. American Psychologist. 2005;60: 341–342. doi:</w:t>
      </w:r>
      <w:hyperlink r:id="rId64">
        <w:r>
          <w:rPr>
            <w:rStyle w:val="Hyperlink"/>
          </w:rPr>
          <w:t xml:space="preserve">10/bxvs99</w:t>
        </w:r>
      </w:hyperlink>
    </w:p>
    <w:bookmarkEnd w:id="65"/>
    <w:bookmarkStart w:id="67" w:name="ref-stantonRelapsePreventionNeeds2005"/>
    <w:p>
      <w:pPr>
        <w:pStyle w:val="Bibliography"/>
      </w:pPr>
      <w:r>
        <w:t xml:space="preserve">16.</w:t>
      </w:r>
      <w:r>
        <w:t xml:space="preserve"> </w:t>
      </w:r>
      <w:r>
        <w:t xml:space="preserve">	</w:t>
      </w:r>
      <w:r>
        <w:t xml:space="preserve">Stanton M. Relapse</w:t>
      </w:r>
      <w:r>
        <w:t xml:space="preserve"> </w:t>
      </w:r>
      <w:r>
        <w:t xml:space="preserve">Prevention Needs More Emphasis</w:t>
      </w:r>
      <w:r>
        <w:t xml:space="preserve"> </w:t>
      </w:r>
      <w:r>
        <w:t xml:space="preserve">on</w:t>
      </w:r>
      <w:r>
        <w:t xml:space="preserve"> </w:t>
      </w:r>
      <w:r>
        <w:t xml:space="preserve">Interpersonal Factors</w:t>
      </w:r>
      <w:r>
        <w:t xml:space="preserve">. American Psychologist. 2005;60: 340–341. doi:</w:t>
      </w:r>
      <w:hyperlink r:id="rId66">
        <w:r>
          <w:rPr>
            <w:rStyle w:val="Hyperlink"/>
          </w:rPr>
          <w:t xml:space="preserve">10/frq49s</w:t>
        </w:r>
      </w:hyperlink>
    </w:p>
    <w:bookmarkEnd w:id="67"/>
    <w:bookmarkStart w:id="68" w:name="ref-grohFriendsFamilyAlcohol2010"/>
    <w:p>
      <w:pPr>
        <w:pStyle w:val="Bibliography"/>
      </w:pPr>
      <w:r>
        <w:t xml:space="preserve">17.</w:t>
      </w:r>
      <w:r>
        <w:t xml:space="preserve"> </w:t>
      </w:r>
      <w:r>
        <w:t xml:space="preserve">	</w:t>
      </w:r>
      <w:r>
        <w:t xml:space="preserve">Groh DR, Jason LA, Davis MI, Olson BD, Ferrari JR. Friends,</w:t>
      </w:r>
      <w:r>
        <w:t xml:space="preserve"> </w:t>
      </w:r>
      <w:r>
        <w:t xml:space="preserve">Family</w:t>
      </w:r>
      <w:r>
        <w:t xml:space="preserve">, and</w:t>
      </w:r>
      <w:r>
        <w:t xml:space="preserve"> </w:t>
      </w:r>
      <w:r>
        <w:t xml:space="preserve">Alcohol Abuse</w:t>
      </w:r>
      <w:r>
        <w:t xml:space="preserve">:</w:t>
      </w:r>
      <w:r>
        <w:t xml:space="preserve"> </w:t>
      </w:r>
      <w:r>
        <w:t xml:space="preserve">An Examination</w:t>
      </w:r>
      <w:r>
        <w:t xml:space="preserve"> </w:t>
      </w:r>
      <w:r>
        <w:t xml:space="preserve">of</w:t>
      </w:r>
      <w:r>
        <w:t xml:space="preserve"> </w:t>
      </w:r>
      <w:r>
        <w:t xml:space="preserve">General</w:t>
      </w:r>
      <w:r>
        <w:t xml:space="preserve"> </w:t>
      </w:r>
      <w:r>
        <w:t xml:space="preserve">and</w:t>
      </w:r>
      <w:r>
        <w:t xml:space="preserve"> </w:t>
      </w:r>
      <w:r>
        <w:t xml:space="preserve">Alcohol-Specific Social Support</w:t>
      </w:r>
      <w:r>
        <w:t xml:space="preserve">. 2010; 11.</w:t>
      </w:r>
      <w:r>
        <w:t xml:space="preserve"> </w:t>
      </w:r>
    </w:p>
    <w:bookmarkEnd w:id="68"/>
    <w:bookmarkStart w:id="69" w:name="ref-kellyRoleAlcoholicsAnonymous2012"/>
    <w:p>
      <w:pPr>
        <w:pStyle w:val="Bibliography"/>
      </w:pPr>
      <w:r>
        <w:t xml:space="preserve">18.</w:t>
      </w:r>
      <w:r>
        <w:t xml:space="preserve"> </w:t>
      </w:r>
      <w:r>
        <w:t xml:space="preserve">	</w:t>
      </w:r>
      <w:r>
        <w:t xml:space="preserve">Kelly JF, Stout RL, Magill M, Tonigan JS. The role of</w:t>
      </w:r>
      <w:r>
        <w:t xml:space="preserve"> </w:t>
      </w:r>
      <w:r>
        <w:t xml:space="preserve">Alcoholics Anonymous</w:t>
      </w:r>
      <w:r>
        <w:t xml:space="preserve"> </w:t>
      </w:r>
      <w:r>
        <w:t xml:space="preserve">in mobilizing adaptive social network changes:</w:t>
      </w:r>
      <w:r>
        <w:t xml:space="preserve"> </w:t>
      </w:r>
      <w:r>
        <w:t xml:space="preserve">A</w:t>
      </w:r>
      <w:r>
        <w:t xml:space="preserve"> </w:t>
      </w:r>
      <w:r>
        <w:t xml:space="preserve">prospective lagged mediational analysis. 2012; 21.</w:t>
      </w:r>
      <w:r>
        <w:t xml:space="preserve"> </w:t>
      </w:r>
    </w:p>
    <w:bookmarkEnd w:id="69"/>
    <w:bookmarkStart w:id="71" w:name="X4fe0d3b7f17b62dab47fe3af3de2f90fa874722"/>
    <w:p>
      <w:pPr>
        <w:pStyle w:val="Bibliography"/>
      </w:pPr>
      <w:r>
        <w:t xml:space="preserve">19.</w:t>
      </w:r>
      <w:r>
        <w:t xml:space="preserve"> </w:t>
      </w:r>
      <w:r>
        <w:t xml:space="preserve">	</w:t>
      </w:r>
      <w:r>
        <w:t xml:space="preserve">Zywiak WH, Longabaugh R, Wirtz PW.</w:t>
      </w:r>
      <w:r>
        <w:t xml:space="preserve"> </w:t>
      </w:r>
      <w:hyperlink r:id="rId70">
        <w:r>
          <w:rPr>
            <w:rStyle w:val="Hyperlink"/>
          </w:rPr>
          <w:t xml:space="preserve">Decomposing the relationships between pretreatment social network characteristics and alcohol treatment outcome</w:t>
        </w:r>
      </w:hyperlink>
      <w:r>
        <w:t xml:space="preserve">. Journal of Studies on Alcohol. 2002;63: 114–121.</w:t>
      </w:r>
      <w:r>
        <w:t xml:space="preserve"> </w:t>
      </w:r>
    </w:p>
    <w:bookmarkEnd w:id="71"/>
    <w:bookmarkStart w:id="73" w:name="Xe238f7f2769b421e2fd8887e4d8b1bddbc60547"/>
    <w:p>
      <w:pPr>
        <w:pStyle w:val="Bibliography"/>
      </w:pPr>
      <w:r>
        <w:t xml:space="preserve">20.</w:t>
      </w:r>
      <w:r>
        <w:t xml:space="preserve"> </w:t>
      </w:r>
      <w:r>
        <w:t xml:space="preserve">	</w:t>
      </w:r>
      <w:r>
        <w:t xml:space="preserve">Longabaugh R, O’Malley SS. Network</w:t>
      </w:r>
      <w:r>
        <w:t xml:space="preserve"> </w:t>
      </w:r>
      <w:r>
        <w:t xml:space="preserve">Support</w:t>
      </w:r>
      <w:r>
        <w:t xml:space="preserve"> </w:t>
      </w:r>
      <w:r>
        <w:t xml:space="preserve">as a</w:t>
      </w:r>
      <w:r>
        <w:t xml:space="preserve"> </w:t>
      </w:r>
      <w:r>
        <w:t xml:space="preserve">Prognostic Indicator</w:t>
      </w:r>
      <w:r>
        <w:t xml:space="preserve"> </w:t>
      </w:r>
      <w:r>
        <w:t xml:space="preserve">of</w:t>
      </w:r>
      <w:r>
        <w:t xml:space="preserve"> </w:t>
      </w:r>
      <w:r>
        <w:t xml:space="preserve">Drinking Outcomes</w:t>
      </w:r>
      <w:r>
        <w:t xml:space="preserve">:</w:t>
      </w:r>
      <w:r>
        <w:t xml:space="preserve"> </w:t>
      </w:r>
      <w:r>
        <w:t xml:space="preserve">The COMBINE Study</w:t>
      </w:r>
      <w:r>
        <w:t xml:space="preserve">. JOURNAL OF STUDIES ON ALCOHOL AND DRUGS. 2010; 10. doi:</w:t>
      </w:r>
      <w:hyperlink r:id="rId72">
        <w:r>
          <w:rPr>
            <w:rStyle w:val="Hyperlink"/>
          </w:rPr>
          <w:t xml:space="preserve">10/ghqvc7</w:t>
        </w:r>
      </w:hyperlink>
    </w:p>
    <w:bookmarkEnd w:id="73"/>
    <w:bookmarkStart w:id="75" w:name="ref-grohSocialNetworkVariables2008"/>
    <w:p>
      <w:pPr>
        <w:pStyle w:val="Bibliography"/>
      </w:pPr>
      <w:r>
        <w:t xml:space="preserve">21.</w:t>
      </w:r>
      <w:r>
        <w:t xml:space="preserve"> </w:t>
      </w:r>
      <w:r>
        <w:t xml:space="preserve">	</w:t>
      </w:r>
      <w:r>
        <w:t xml:space="preserve">Groh D, Jason L, Keys C. Social network variables in alcoholics anonymous:</w:t>
      </w:r>
      <w:r>
        <w:t xml:space="preserve"> </w:t>
      </w:r>
      <w:r>
        <w:t xml:space="preserve">A</w:t>
      </w:r>
      <w:r>
        <w:t xml:space="preserve"> </w:t>
      </w:r>
      <w:r>
        <w:t xml:space="preserve">literature review. Clinical Psychology Review. 2008;28: 430–450. doi:</w:t>
      </w:r>
      <w:hyperlink r:id="rId74">
        <w:r>
          <w:rPr>
            <w:rStyle w:val="Hyperlink"/>
          </w:rPr>
          <w:t xml:space="preserve">10/b86245</w:t>
        </w:r>
      </w:hyperlink>
    </w:p>
    <w:bookmarkEnd w:id="75"/>
    <w:bookmarkStart w:id="77" w:name="ref-woffServiceProvidersPerceptions1996"/>
    <w:p>
      <w:pPr>
        <w:pStyle w:val="Bibliography"/>
      </w:pPr>
      <w:r>
        <w:t xml:space="preserve">22.</w:t>
      </w:r>
      <w:r>
        <w:t xml:space="preserve"> </w:t>
      </w:r>
      <w:r>
        <w:t xml:space="preserve">	</w:t>
      </w:r>
      <w:r>
        <w:t xml:space="preserve">Woff I, Toumbourou J, Herlihy E, Hamilton M, Wales S. Service providers’ perceptions of substance use self-help groups. Substance Use &amp; Misuse. 1996;31: 1241–1258. doi:</w:t>
      </w:r>
      <w:hyperlink r:id="rId76">
        <w:r>
          <w:rPr>
            <w:rStyle w:val="Hyperlink"/>
          </w:rPr>
          <w:t xml:space="preserve">10.3109/10826089609063976</w:t>
        </w:r>
      </w:hyperlink>
    </w:p>
    <w:bookmarkEnd w:id="77"/>
    <w:bookmarkStart w:id="79" w:name="Xca677b9b728779665dfcfc54ba66f00f69a3908"/>
    <w:p>
      <w:pPr>
        <w:pStyle w:val="Bibliography"/>
      </w:pPr>
      <w:r>
        <w:t xml:space="preserve">23.</w:t>
      </w:r>
      <w:r>
        <w:t xml:space="preserve"> </w:t>
      </w:r>
      <w:r>
        <w:t xml:space="preserve">	</w:t>
      </w:r>
      <w:r>
        <w:t xml:space="preserve">Humphreys K, Mankowski ES, Moos RH, Finney JW. Do enhanced friendship networks and active coping mediate the effect of self-help groups on substance abuse? Annals of Behavioral Medicine: A Publication of the Society of Behavioral Medicine. 1999;21: 54–60. doi:</w:t>
      </w:r>
      <w:hyperlink r:id="rId78">
        <w:r>
          <w:rPr>
            <w:rStyle w:val="Hyperlink"/>
          </w:rPr>
          <w:t xml:space="preserve">10/cjrpbz</w:t>
        </w:r>
      </w:hyperlink>
    </w:p>
    <w:bookmarkEnd w:id="79"/>
    <w:bookmarkStart w:id="81" w:name="ref-alvarezSocialNetworkHeavy2021"/>
    <w:p>
      <w:pPr>
        <w:pStyle w:val="Bibliography"/>
      </w:pPr>
      <w:r>
        <w:t xml:space="preserve">24.</w:t>
      </w:r>
      <w:r>
        <w:t xml:space="preserve"> </w:t>
      </w:r>
      <w:r>
        <w:t xml:space="preserve">	</w:t>
      </w:r>
      <w:r>
        <w:t xml:space="preserve">Alvarez MJ, Richards DK, Oviedo Ramirez S, Field CA. Social network heavy drinking moderates the effects of a brief motivational intervention for alcohol use among injured patients. Addictive Behaviors. 2021;112: 106594. doi:</w:t>
      </w:r>
      <w:hyperlink r:id="rId80">
        <w:r>
          <w:rPr>
            <w:rStyle w:val="Hyperlink"/>
          </w:rPr>
          <w:t xml:space="preserve">10/ghqvdc</w:t>
        </w:r>
      </w:hyperlink>
    </w:p>
    <w:bookmarkEnd w:id="81"/>
    <w:bookmarkStart w:id="83" w:name="ref-gordonSocialNetworksRecovery1991"/>
    <w:p>
      <w:pPr>
        <w:pStyle w:val="Bibliography"/>
      </w:pPr>
      <w:r>
        <w:t xml:space="preserve">25.</w:t>
      </w:r>
      <w:r>
        <w:t xml:space="preserve"> </w:t>
      </w:r>
      <w:r>
        <w:t xml:space="preserve">	</w:t>
      </w:r>
      <w:r>
        <w:t xml:space="preserve">Gordon AJ, Zrull M. Social networks and recovery:</w:t>
      </w:r>
      <w:r>
        <w:t xml:space="preserve"> </w:t>
      </w:r>
      <w:r>
        <w:t xml:space="preserve">One</w:t>
      </w:r>
      <w:r>
        <w:t xml:space="preserve"> </w:t>
      </w:r>
      <w:r>
        <w:t xml:space="preserve">year after inpatient treatment. Journal of Substance Abuse Treatment. 1991;8: 143–152. doi:</w:t>
      </w:r>
      <w:hyperlink r:id="rId82">
        <w:r>
          <w:rPr>
            <w:rStyle w:val="Hyperlink"/>
          </w:rPr>
          <w:t xml:space="preserve">10/dg32sj</w:t>
        </w:r>
      </w:hyperlink>
    </w:p>
    <w:bookmarkEnd w:id="83"/>
    <w:bookmarkStart w:id="85" w:name="ref-mohrGettingGettingHigh2001"/>
    <w:p>
      <w:pPr>
        <w:pStyle w:val="Bibliography"/>
      </w:pPr>
      <w:r>
        <w:t xml:space="preserve">26.</w:t>
      </w:r>
      <w:r>
        <w:t xml:space="preserve"> </w:t>
      </w:r>
      <w:r>
        <w:t xml:space="preserve">	</w:t>
      </w:r>
      <w:r>
        <w:t xml:space="preserve">Mohr CD, Averna S, Kenny DA, Del Boca FK. "</w:t>
      </w:r>
      <w:r>
        <w:t xml:space="preserve">Getting</w:t>
      </w:r>
      <w:r>
        <w:t xml:space="preserve"> </w:t>
      </w:r>
      <w:r>
        <w:t xml:space="preserve">by (or getting high) with a little help from my friends": An examination of adult alcoholics’ friendships. Journal of Studies on Alcohol. 2001;62: 637–645. doi:</w:t>
      </w:r>
      <w:hyperlink r:id="rId84">
        <w:r>
          <w:rPr>
            <w:rStyle w:val="Hyperlink"/>
          </w:rPr>
          <w:t xml:space="preserve">10/ghqvc3</w:t>
        </w:r>
      </w:hyperlink>
    </w:p>
    <w:bookmarkEnd w:id="85"/>
    <w:bookmarkStart w:id="87" w:name="ref-cohenStressSocialSupport"/>
    <w:p>
      <w:pPr>
        <w:pStyle w:val="Bibliography"/>
      </w:pPr>
      <w:r>
        <w:t xml:space="preserve">27.</w:t>
      </w:r>
      <w:r>
        <w:t xml:space="preserve"> </w:t>
      </w:r>
      <w:r>
        <w:t xml:space="preserve">	</w:t>
      </w:r>
      <w:r>
        <w:t xml:space="preserve">Cohen S, Wills TA. Stress,</w:t>
      </w:r>
      <w:r>
        <w:t xml:space="preserve"> </w:t>
      </w:r>
      <w:r>
        <w:t xml:space="preserve">Social Support</w:t>
      </w:r>
      <w:r>
        <w:t xml:space="preserve">, and the</w:t>
      </w:r>
      <w:r>
        <w:t xml:space="preserve"> </w:t>
      </w:r>
      <w:r>
        <w:t xml:space="preserve">Buffering Hypothesis</w:t>
      </w:r>
      <w:r>
        <w:t xml:space="preserve">. : 48. doi:</w:t>
      </w:r>
      <w:hyperlink r:id="rId86">
        <w:r>
          <w:rPr>
            <w:rStyle w:val="Hyperlink"/>
          </w:rPr>
          <w:t xml:space="preserve">10/b4k</w:t>
        </w:r>
      </w:hyperlink>
    </w:p>
    <w:bookmarkEnd w:id="87"/>
    <w:bookmarkStart w:id="89" w:name="Xdf237b67d090e6daa6d47c922631d48705ffd8f"/>
    <w:p>
      <w:pPr>
        <w:pStyle w:val="Bibliography"/>
      </w:pPr>
      <w:r>
        <w:t xml:space="preserve">28.</w:t>
      </w:r>
      <w:r>
        <w:t xml:space="preserve"> </w:t>
      </w:r>
      <w:r>
        <w:t xml:space="preserve">	</w:t>
      </w:r>
      <w:r>
        <w:t xml:space="preserve">Holt-Lunstad J, Smith TB, Layton JB. Social relationships and mortality risk: A meta-analytic review. PLoS medicine. 2010;7: e1000316. doi:</w:t>
      </w:r>
      <w:hyperlink r:id="rId88">
        <w:r>
          <w:rPr>
            <w:rStyle w:val="Hyperlink"/>
          </w:rPr>
          <w:t xml:space="preserve">10/c3f27d</w:t>
        </w:r>
      </w:hyperlink>
    </w:p>
    <w:bookmarkEnd w:id="89"/>
    <w:bookmarkStart w:id="91" w:name="ref-fronkStressAllostasisSubstance2020"/>
    <w:p>
      <w:pPr>
        <w:pStyle w:val="Bibliography"/>
      </w:pPr>
      <w:r>
        <w:t xml:space="preserve">29.</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90">
        <w:r>
          <w:rPr>
            <w:rStyle w:val="Hyperlink"/>
          </w:rPr>
          <w:t xml:space="preserve">10.1146/annurev-clinpsy-102419-125016</w:t>
        </w:r>
      </w:hyperlink>
    </w:p>
    <w:bookmarkEnd w:id="91"/>
    <w:bookmarkStart w:id="93" w:name="ref-hidalgoDynamicsMobilePhone2008"/>
    <w:p>
      <w:pPr>
        <w:pStyle w:val="Bibliography"/>
      </w:pPr>
      <w:r>
        <w:t xml:space="preserve">30.</w:t>
      </w:r>
      <w:r>
        <w:t xml:space="preserve"> </w:t>
      </w:r>
      <w:r>
        <w:t xml:space="preserve">	</w:t>
      </w:r>
      <w:r>
        <w:t xml:space="preserve">Hidalgo CA, Rodriguez-Sickert C. The dynamics of a mobile phone network. Physica A: Statistical Mechanics and its Applications. 2008;387: 3017–3024. doi:</w:t>
      </w:r>
      <w:hyperlink r:id="rId92">
        <w:r>
          <w:rPr>
            <w:rStyle w:val="Hyperlink"/>
          </w:rPr>
          <w:t xml:space="preserve">10/bwdsbj</w:t>
        </w:r>
      </w:hyperlink>
    </w:p>
    <w:bookmarkEnd w:id="93"/>
    <w:bookmarkStart w:id="95" w:name="X2ac9dea46f3c2390c71662ea100b230c01c2a18"/>
    <w:p>
      <w:pPr>
        <w:pStyle w:val="Bibliography"/>
      </w:pPr>
      <w:r>
        <w:t xml:space="preserve">31.</w:t>
      </w:r>
      <w:r>
        <w:t xml:space="preserve"> </w:t>
      </w:r>
      <w:r>
        <w:t xml:space="preserve">	</w:t>
      </w:r>
      <w:r>
        <w:t xml:space="preserve">Sekara V, Stopczynski A, Lehmann S. Fundamental structures of dynamic social networks. Proceedings of the National Academy of Sciences. 2016;113: 9977–9982. doi:</w:t>
      </w:r>
      <w:hyperlink r:id="rId94">
        <w:r>
          <w:rPr>
            <w:rStyle w:val="Hyperlink"/>
          </w:rPr>
          <w:t xml:space="preserve">10/f84d8f</w:t>
        </w:r>
      </w:hyperlink>
    </w:p>
    <w:bookmarkEnd w:id="95"/>
    <w:bookmarkStart w:id="97" w:name="ref-saramakiSecondsMonthsOverview2015"/>
    <w:p>
      <w:pPr>
        <w:pStyle w:val="Bibliography"/>
      </w:pPr>
      <w:r>
        <w:t xml:space="preserve">32.</w:t>
      </w:r>
      <w:r>
        <w:t xml:space="preserve"> </w:t>
      </w:r>
      <w:r>
        <w:t xml:space="preserve">	</w:t>
      </w:r>
      <w:r>
        <w:t xml:space="preserve">Saramäki J, Moro E. From seconds to months: An overview of multi-scale dynamics of mobile telephone calls. The European Physical Journal B. 2015;88: 164. doi:</w:t>
      </w:r>
      <w:hyperlink r:id="rId96">
        <w:r>
          <w:rPr>
            <w:rStyle w:val="Hyperlink"/>
          </w:rPr>
          <w:t xml:space="preserve">10/ghqvc5</w:t>
        </w:r>
      </w:hyperlink>
    </w:p>
    <w:bookmarkEnd w:id="97"/>
    <w:bookmarkStart w:id="99" w:name="Xc90cfead851782a6ba23132def5a75fad0aed13"/>
    <w:p>
      <w:pPr>
        <w:pStyle w:val="Bibliography"/>
      </w:pPr>
      <w:r>
        <w:t xml:space="preserve">33.</w:t>
      </w:r>
      <w:r>
        <w:t xml:space="preserve"> </w:t>
      </w:r>
      <w:r>
        <w:t xml:space="preserve">	</w:t>
      </w:r>
      <w:r>
        <w:t xml:space="preserve">Kossinets G. Empirical</w:t>
      </w:r>
      <w:r>
        <w:t xml:space="preserve"> </w:t>
      </w:r>
      <w:r>
        <w:t xml:space="preserve">Analysis</w:t>
      </w:r>
      <w:r>
        <w:t xml:space="preserve"> </w:t>
      </w:r>
      <w:r>
        <w:t xml:space="preserve">of an</w:t>
      </w:r>
      <w:r>
        <w:t xml:space="preserve"> </w:t>
      </w:r>
      <w:r>
        <w:t xml:space="preserve">Evolving Social Network</w:t>
      </w:r>
      <w:r>
        <w:t xml:space="preserve">. Science. 2006;311: 88–90. doi:</w:t>
      </w:r>
      <w:hyperlink r:id="rId98">
        <w:r>
          <w:rPr>
            <w:rStyle w:val="Hyperlink"/>
          </w:rPr>
          <w:t xml:space="preserve">10/bwvwz8</w:t>
        </w:r>
      </w:hyperlink>
    </w:p>
    <w:bookmarkEnd w:id="99"/>
    <w:bookmarkStart w:id="101" w:name="X126aebe61d5329fdf5f31356b05d81ee3379203"/>
    <w:p>
      <w:pPr>
        <w:pStyle w:val="Bibliography"/>
      </w:pPr>
      <w:r>
        <w:t xml:space="preserve">34.</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100">
        <w:r>
          <w:rPr>
            <w:rStyle w:val="Hyperlink"/>
          </w:rPr>
          <w:t xml:space="preserve">10.1038/s41562-019-0772-6</w:t>
        </w:r>
      </w:hyperlink>
    </w:p>
    <w:bookmarkEnd w:id="101"/>
    <w:bookmarkStart w:id="102" w:name="ref-hsiehSampleSizeTables1989"/>
    <w:p>
      <w:pPr>
        <w:pStyle w:val="Bibliography"/>
      </w:pPr>
      <w:r>
        <w:t xml:space="preserve">35.</w:t>
      </w:r>
      <w:r>
        <w:t xml:space="preserve"> </w:t>
      </w:r>
      <w:r>
        <w:t xml:space="preserve">	</w:t>
      </w:r>
      <w:r>
        <w:t xml:space="preserve">Hsieh F. Sample size tables for logistic regression. Statistics in Medicine. 1989;8: 795–802.</w:t>
      </w:r>
      <w:r>
        <w:t xml:space="preserve"> </w:t>
      </w:r>
    </w:p>
    <w:bookmarkEnd w:id="102"/>
    <w:bookmarkStart w:id="103" w:name="ref-derogatislBriefSymptomInventory"/>
    <w:p>
      <w:pPr>
        <w:pStyle w:val="Bibliography"/>
      </w:pPr>
      <w:r>
        <w:t xml:space="preserve">36.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03"/>
    <w:bookmarkStart w:id="105" w:name="X88039606d7b5c64f85ee8ea71703c6bdc3d9351"/>
    <w:p>
      <w:pPr>
        <w:pStyle w:val="Bibliography"/>
      </w:pPr>
      <w:r>
        <w:t xml:space="preserve">37.</w:t>
      </w:r>
      <w:r>
        <w:t xml:space="preserve"> </w:t>
      </w:r>
      <w:r>
        <w:t xml:space="preserve">	</w:t>
      </w:r>
      <w:r>
        <w:t xml:space="preserve">Patrick CJ, Curtin JJ, Tellegen A.</w:t>
      </w:r>
      <w:r>
        <w:t xml:space="preserve"> </w:t>
      </w:r>
      <w:hyperlink r:id="rId104">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105"/>
    <w:bookmarkStart w:id="107" w:name="X7237f3e8ec0394639ac33af78d4502788e325cb"/>
    <w:p>
      <w:pPr>
        <w:pStyle w:val="Bibliography"/>
      </w:pPr>
      <w:r>
        <w:t xml:space="preserve">38.</w:t>
      </w:r>
      <w:r>
        <w:t xml:space="preserve"> </w:t>
      </w:r>
      <w:r>
        <w:t xml:space="preserve">	</w:t>
      </w:r>
      <w:r>
        <w:t xml:space="preserve">Lovibond PF, Lovibond SH.</w:t>
      </w:r>
      <w:r>
        <w:t xml:space="preserve"> </w:t>
      </w:r>
      <w:hyperlink r:id="rId106">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107"/>
    <w:bookmarkStart w:id="109" w:name="Xcae8ce16b0973d3f8a23c89fe6ee90c012f333c"/>
    <w:p>
      <w:pPr>
        <w:pStyle w:val="Bibliography"/>
      </w:pPr>
      <w:r>
        <w:t xml:space="preserve">39.</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108">
        <w:r>
          <w:rPr>
            <w:rStyle w:val="Hyperlink"/>
          </w:rPr>
          <w:t xml:space="preserve">10.1080/1533256X.2011.593445</w:t>
        </w:r>
      </w:hyperlink>
    </w:p>
    <w:bookmarkEnd w:id="109"/>
    <w:bookmarkStart w:id="111" w:name="X72fdb242290119aefa439c46cdcc18630f6c0fa"/>
    <w:p>
      <w:pPr>
        <w:pStyle w:val="Bibliography"/>
      </w:pPr>
      <w:r>
        <w:t xml:space="preserve">40.</w:t>
      </w:r>
      <w:r>
        <w:t xml:space="preserve"> </w:t>
      </w:r>
      <w:r>
        <w:t xml:space="preserve">	</w:t>
      </w:r>
      <w:r>
        <w:t xml:space="preserve">Flannery BA, Volpicelli JR, Pettinati HM.</w:t>
      </w:r>
      <w:r>
        <w:t xml:space="preserve"> </w:t>
      </w:r>
      <w:hyperlink r:id="rId110">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111"/>
    <w:bookmarkStart w:id="113" w:name="X948b064f539498125570f43a275c11fe3804a5f"/>
    <w:p>
      <w:pPr>
        <w:pStyle w:val="Bibliography"/>
      </w:pPr>
      <w:r>
        <w:t xml:space="preserve">41.</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112">
        <w:r>
          <w:rPr>
            <w:rStyle w:val="Hyperlink"/>
          </w:rPr>
          <w:t xml:space="preserve">10.2147/PPA.S474535</w:t>
        </w:r>
      </w:hyperlink>
    </w:p>
    <w:bookmarkEnd w:id="113"/>
    <w:bookmarkStart w:id="115" w:name="ref-baeDetectingDrinkingEpisodes2017"/>
    <w:p>
      <w:pPr>
        <w:pStyle w:val="Bibliography"/>
      </w:pPr>
      <w:r>
        <w:t xml:space="preserve">42.</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114">
        <w:r>
          <w:rPr>
            <w:rStyle w:val="Hyperlink"/>
          </w:rPr>
          <w:t xml:space="preserve">10.1145/3090051</w:t>
        </w:r>
      </w:hyperlink>
    </w:p>
    <w:bookmarkEnd w:id="115"/>
    <w:bookmarkStart w:id="117" w:name="ref-baeLeveragingMobilePhone2023"/>
    <w:p>
      <w:pPr>
        <w:pStyle w:val="Bibliography"/>
      </w:pPr>
      <w:r>
        <w:t xml:space="preserve">43.</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16">
        <w:r>
          <w:rPr>
            <w:rStyle w:val="Hyperlink"/>
          </w:rPr>
          <w:t xml:space="preserve">10.2196/39862</w:t>
        </w:r>
      </w:hyperlink>
    </w:p>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4"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6"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4"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6"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2026-04-20T20:44:58Z</dcterms:created>
  <dcterms:modified xsi:type="dcterms:W3CDTF">2026-04-20T20:44:58Z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utility in lapse prediction models.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2026-04-20</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