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w:t>
      </w:r>
      <w:r>
        <w:t xml:space="preserve"> </w:t>
      </w:r>
      <w:r>
        <w:rPr>
          <w:b/>
          <w:bCs/>
        </w:rPr>
        <w:t xml:space="preserve">witkiewitzRelapsePreventionAlcohol2004b?</w:t>
      </w:r>
      <w:r>
        <w:t xml:space="preserve">)</w:t>
      </w:r>
      <w:r>
        <w:t xml:space="preserve">. Lapse predicts future lapses, with more frequent ones resulting in increased risks of relapse</w:t>
      </w:r>
      <w:r>
        <w:t xml:space="preserve"> </w:t>
      </w:r>
      <w:r>
        <w:t xml:space="preserve">(Högström Brandt et al., 1999;</w:t>
      </w:r>
      <w:r>
        <w:t xml:space="preserve"> </w:t>
      </w:r>
      <w:r>
        <w:rPr>
          <w:b/>
          <w:bCs/>
        </w:rPr>
        <w:t xml:space="preserve">witkiewitzRelapsePreventionAlcohol2004b?</w:t>
      </w:r>
      <w:r>
        <w:t xml:space="preserve">)</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w:t>
      </w:r>
      <w:r>
        <w:t xml:space="preserve"> </w:t>
      </w:r>
      <w:r>
        <w:rPr>
          <w:b/>
          <w:bCs/>
        </w:rPr>
        <w:t xml:space="preserve">vangenugtenExperiencedBurdenAdherence2020a?</w:t>
      </w:r>
      <w:r>
        <w:t xml:space="preserve">)</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6"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(Aczel et al., 2019)</w:t>
      </w:r>
      <w:r>
        <w:t xml:space="preserve">. Our data, questionnaires, and other study materials are publicly available on our OSF page (</w:t>
      </w:r>
      <w:hyperlink r:id="rId21">
        <w:r>
          <w:rPr>
            <w:rStyle w:val="Hyperlink"/>
          </w:rPr>
          <w:t xml:space="preserve">https://osf.io/wgpz9/</w:t>
        </w:r>
      </w:hyperlink>
      <w:r>
        <w:t xml:space="preserve">). Our annotated analysis scripts and results are publicly available on our study website (</w:t>
      </w:r>
      <w:hyperlink r:id="rId22">
        <w:r>
          <w:rPr>
            <w:rStyle w:val="Hyperlink"/>
          </w:rPr>
          <w:t xml:space="preserve">https://jjcurtin.github.io/study_messages/</w:t>
        </w:r>
      </w:hyperlink>
      <w:r>
        <w:t xml:space="preserve">).</w:t>
      </w:r>
    </w:p>
    <w:bookmarkEnd w:id="23"/>
    <w:bookmarkStart w:id="25" w:name="participants"/>
    <w:p>
      <w:pPr>
        <w:pStyle w:val="Heading2"/>
      </w:pPr>
      <w:r>
        <w:t xml:space="preserve">Participants</w:t>
      </w:r>
    </w:p>
    <w:p>
      <w:pPr>
        <w:pStyle w:val="FirstParagraph"/>
      </w:pPr>
      <w:r>
        <w:t xml:space="preserve">We recruited 192 participants in early recovery from AUD in Madison, Wisconsin, USA via print and targeted digital advertisements and partnerships with treatment centers. This sample size was determined based on traditional power analysis methods for logistic regression</w:t>
      </w:r>
      <w:r>
        <w:t xml:space="preserve"> </w:t>
      </w:r>
      <w:r>
        <w:t xml:space="preserve">(Hsieh, 1989)</w:t>
      </w:r>
      <w:r>
        <w:t xml:space="preserve">.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Compact"/>
        <w:numPr>
          <w:ilvl w:val="0"/>
          <w:numId w:val="1001"/>
        </w:numPr>
      </w:pPr>
      <w:r>
        <w:t xml:space="preserve">were not exhibiting severe symptoms of psychosis or paranoia.</w:t>
      </w:r>
      <w:r>
        <w:rPr>
          <w:rStyle w:val="FootnoteReference"/>
        </w:rPr>
        <w:footnoteReference w:id="24"/>
      </w:r>
    </w:p>
    <w:p>
      <w:pPr>
        <w:pStyle w:val="FirstParagraph"/>
      </w:pPr>
      <w:r>
        <w:t xml:space="preserve">One hundred sixty-nine participants were eligible and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r>
        <w:t xml:space="preserve"> </w:t>
      </w:r>
    </w:p>
    <w:bookmarkEnd w:id="25"/>
    <w:bookmarkStart w:id="26" w:name="procedure"/>
    <w:p>
      <w:pPr>
        <w:pStyle w:val="Heading2"/>
      </w:pPr>
      <w:r>
        <w:t xml:space="preserve">Procedure</w:t>
      </w:r>
    </w:p>
    <w:p>
      <w:pPr>
        <w:pStyle w:val="FirstParagraph"/>
      </w:pPr>
      <w:r>
        <w:t xml:space="preserve">All procedures were approved by the University of Wisconsin-Madison Institutional Review Board (Study #2015-0780). Participants completed 5 study visits over approximately 3 months. Participants attended an in-person screening visit where we determined eligibility, obtained informed consent, and administered a battery of self-report measures. Eligible, consented participants returned approximately 1 week later for an intake visit. Three additional follow-up visits occurred about every 30 days that participants remained on study. At each follow-up visit, we downloaded participants’ voice call and SMS text message logs from their smartphone devices, collected contextual self-report information about important contacts, and administered additional self-report measures.</w:t>
      </w:r>
    </w:p>
    <w:p>
      <w:pPr>
        <w:pStyle w:val="BodyText"/>
      </w:pPr>
      <w:r>
        <w:t xml:space="preserve">Participants were expected to complete 4 brief (7-10 questions) daily ecological momentary assessments (EMA) for the duration of their enrollment. The first item on each EMA asked participants to report dates and times of any recent alcohol use. At follow-up visits, we verified lapse reports and queried participants about additional unreported laspes using a timeline followback measure. Additional sensing data streams (geolocation, sleep quality, and audio check-ins) were collected as part of the parent grant’s aims (R01 AA024391).</w:t>
      </w:r>
    </w:p>
    <w:bookmarkEnd w:id="26"/>
    <w:bookmarkStart w:id="27" w:name="measures"/>
    <w:p>
      <w:pPr>
        <w:pStyle w:val="Heading2"/>
      </w:pPr>
      <w:r>
        <w:t xml:space="preserve">Measures</w:t>
      </w:r>
    </w:p>
    <w:bookmarkEnd w:id="27"/>
    <w:bookmarkStart w:id="28" w:name="cellular-communication-logs"/>
    <w:p>
      <w:pPr>
        <w:pStyle w:val="Heading2"/>
      </w:pPr>
      <w:r>
        <w:t xml:space="preserve">Cellular Communication Logs</w:t>
      </w:r>
    </w:p>
    <w:bookmarkEnd w:id="28"/>
    <w:bookmarkStart w:id="29" w:name="context"/>
    <w:p>
      <w:pPr>
        <w:pStyle w:val="Heading2"/>
      </w:pPr>
      <w:r>
        <w:t xml:space="preserve">Context</w:t>
      </w:r>
    </w:p>
    <w:p>
      <w:pPr>
        <w:pStyle w:val="FirstParagraph"/>
      </w:pPr>
      <w:r>
        <w:t xml:space="preserve">Participants were asked</w:t>
      </w:r>
      <w:r>
        <w:t xml:space="preserve"> </w:t>
      </w:r>
      <w:r>
        <w:t xml:space="preserve"> </w:t>
      </w:r>
      <w:r>
        <w:t xml:space="preserve">contextual questions about important contacts (people whom the partcipant communicated with at least twice by voice call or SMS text message in a one month period).</w:t>
      </w:r>
    </w:p>
    <w:bookmarkEnd w:id="29"/>
    <w:bookmarkStart w:id="35" w:name="data-analysis-plan"/>
    <w:p>
      <w:pPr>
        <w:pStyle w:val="Heading2"/>
      </w:pPr>
      <w:r>
        <w:t xml:space="preserve">Data Analysis Plan</w:t>
      </w:r>
    </w:p>
    <w:bookmarkStart w:id="30" w:name="model-configurations"/>
    <w:p>
      <w:pPr>
        <w:pStyle w:val="Heading3"/>
      </w:pPr>
      <w:r>
        <w:t xml:space="preserve">Model Configurations</w:t>
      </w:r>
    </w:p>
    <w:bookmarkEnd w:id="30"/>
    <w:bookmarkStart w:id="31" w:name="feature-engineering"/>
    <w:p>
      <w:pPr>
        <w:pStyle w:val="Heading3"/>
      </w:pPr>
      <w:r>
        <w:t xml:space="preserve">Feature Engineering</w:t>
      </w:r>
    </w:p>
    <w:bookmarkEnd w:id="31"/>
    <w:bookmarkStart w:id="32" w:name="model-evaluation"/>
    <w:p>
      <w:pPr>
        <w:pStyle w:val="Heading3"/>
      </w:pPr>
      <w:r>
        <w:t xml:space="preserve">Model Evaluation</w:t>
      </w:r>
    </w:p>
    <w:bookmarkEnd w:id="32"/>
    <w:bookmarkStart w:id="33" w:name="model-comparison"/>
    <w:p>
      <w:pPr>
        <w:pStyle w:val="Heading3"/>
      </w:pPr>
      <w:r>
        <w:t xml:space="preserve">Model Comparison</w:t>
      </w:r>
    </w:p>
    <w:bookmarkEnd w:id="33"/>
    <w:bookmarkStart w:id="34" w:name="feature-importance"/>
    <w:p>
      <w:pPr>
        <w:pStyle w:val="Heading3"/>
      </w:pPr>
      <w:r>
        <w:t xml:space="preserve">Feature Importance</w:t>
      </w:r>
    </w:p>
    <w:bookmarkEnd w:id="34"/>
    <w:bookmarkEnd w:id="35"/>
    <w:bookmarkEnd w:id="36"/>
    <w:bookmarkStart w:id="46" w:name="results"/>
    <w:p>
      <w:pPr>
        <w:pStyle w:val="Heading1"/>
      </w:pPr>
      <w:r>
        <w:t xml:space="preserve">Results</w:t>
      </w:r>
    </w:p>
    <w:bookmarkStart w:id="37" w:name="participants-1"/>
    <w:p>
      <w:pPr>
        <w:pStyle w:val="Heading2"/>
      </w:pPr>
      <w:r>
        <w:t xml:space="preserve">Participants</w:t>
      </w:r>
    </w:p>
    <w:bookmarkEnd w:id="37"/>
    <w:bookmarkStart w:id="38" w:name="model-evaluation-1"/>
    <w:p>
      <w:pPr>
        <w:pStyle w:val="Heading2"/>
      </w:pPr>
      <w:r>
        <w:t xml:space="preserve">Model Evaluation</w:t>
      </w:r>
    </w:p>
    <w:bookmarkEnd w:id="38"/>
    <w:bookmarkStart w:id="39" w:name="model-comparison-1"/>
    <w:p>
      <w:pPr>
        <w:pStyle w:val="Heading2"/>
      </w:pPr>
      <w:r>
        <w:t xml:space="preserve">Model Comparison</w:t>
      </w:r>
    </w:p>
    <w:bookmarkEnd w:id="39"/>
    <w:bookmarkStart w:id="45" w:name="feature-importance-1"/>
    <w:p>
      <w:pPr>
        <w:pStyle w:val="Heading2"/>
      </w:pPr>
      <w:r>
        <w:t xml:space="preserve">Feature Importance</w:t>
      </w:r>
    </w:p>
    <w:tbl>
      <w:tblPr>
        <w:tblStyle w:val="Table"/>
        <w:tblW w:type="pct" w:w="5000"/>
        <w:tblLayout w:type="fixed"/>
        <w:tblLook w:firstRow="0" w:lastRow="0" w:firstColumn="0" w:lastColumn="0" w:noHBand="0" w:noVBand="0" w:val="0000"/>
      </w:tblPr>
      <w:tblGrid>
        <w:gridCol w:w="7920"/>
      </w:tblGrid>
      <w:tr>
        <w:tc>
          <w:tcPr/>
          <w:bookmarkStart w:id="43" w:name="fig-1"/>
          <w:p>
            <w:pPr>
              <w:pStyle w:val="Compact"/>
              <w:jc w:val="center"/>
            </w:pPr>
            <w:r>
              <w:drawing>
                <wp:inline>
                  <wp:extent cx="5334000" cy="4445000"/>
                  <wp:effectExtent b="0" l="0" r="0" t="0"/>
                  <wp:docPr descr="" title="" id="41" name="Picture"/>
                  <a:graphic>
                    <a:graphicData uri="http://schemas.openxmlformats.org/drawingml/2006/picture">
                      <pic:pic>
                        <pic:nvPicPr>
                          <pic:cNvPr descr="index_files/figure-docx/notebooks-mak_figures-fig-1-output-1.png" id="42"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All Figures for Main Manuscript</w:t>
        </w:r>
      </w:hyperlink>
    </w:p>
    <w:bookmarkEnd w:id="45"/>
    <w:bookmarkEnd w:id="46"/>
    <w:bookmarkStart w:id="98" w:name="discussion"/>
    <w:p>
      <w:pPr>
        <w:pStyle w:val="Heading1"/>
      </w:pPr>
      <w:r>
        <w:t xml:space="preserve">Discussion</w:t>
      </w:r>
    </w:p>
    <w:bookmarkStart w:id="97" w:name="refs"/>
    <w:bookmarkStart w:id="48" w:name="X126aebe61d5329fdf5f31356b05d81ee3379203"/>
    <w:p>
      <w:pPr>
        <w:pStyle w:val="Bibliography"/>
      </w:pPr>
      <w:r>
        <w:t xml:space="preserve">Aczel, B., Szaszi, B., Sarafoglou, A., Kekecs, Z., Kucharský, Š., Benjamin, D., Chambers, C. D., Fisher, A., Gelman, A., Gernsbacher, M. A., Ioannidis, J. P., Johnson, E., Jonas, K., Kousta, S., Lilienfeld, S. O., Lindsay, D. S., Morey, C. C., Monafò, M., Newell, B. R., … Wagenmakers, E.-J. (2019). A consensus-based transparency checklist.</w:t>
      </w:r>
      <w:r>
        <w:t xml:space="preserve"> </w:t>
      </w:r>
      <w:r>
        <w:rPr>
          <w:i/>
          <w:iCs/>
        </w:rPr>
        <w:t xml:space="preserve">Nature Human Behaviour</w:t>
      </w:r>
      <w:r>
        <w:t xml:space="preserve">, 1–3.</w:t>
      </w:r>
      <w:r>
        <w:t xml:space="preserve"> </w:t>
      </w:r>
      <w:hyperlink r:id="rId47">
        <w:r>
          <w:rPr>
            <w:rStyle w:val="Hyperlink"/>
          </w:rPr>
          <w:t xml:space="preserve">https://doi.org/10.1038/s41562-019-0772-6</w:t>
        </w:r>
      </w:hyperlink>
    </w:p>
    <w:bookmarkEnd w:id="48"/>
    <w:bookmarkStart w:id="50"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9">
        <w:r>
          <w:rPr>
            <w:rStyle w:val="Hyperlink"/>
          </w:rPr>
          <w:t xml:space="preserve">https://doi.org/10.1016/j.addbeh.2020.106594</w:t>
        </w:r>
      </w:hyperlink>
    </w:p>
    <w:bookmarkEnd w:id="50"/>
    <w:bookmarkStart w:id="52"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51">
        <w:r>
          <w:rPr>
            <w:rStyle w:val="Hyperlink"/>
          </w:rPr>
          <w:t xml:space="preserve">https://doi.org/10.2196/31877</w:t>
        </w:r>
      </w:hyperlink>
    </w:p>
    <w:bookmarkEnd w:id="52"/>
    <w:bookmarkStart w:id="53"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53"/>
    <w:bookmarkStart w:id="55"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4">
        <w:r>
          <w:rPr>
            <w:rStyle w:val="Hyperlink"/>
          </w:rPr>
          <w:t xml:space="preserve">https://doi.org/10.1016/j.jsat.2013.08.004</w:t>
        </w:r>
      </w:hyperlink>
    </w:p>
    <w:bookmarkEnd w:id="55"/>
    <w:bookmarkStart w:id="57"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6">
        <w:r>
          <w:rPr>
            <w:rStyle w:val="Hyperlink"/>
          </w:rPr>
          <w:t xml:space="preserve">https://doi.org/10.1016/j.cpr.2005.11.004</w:t>
        </w:r>
      </w:hyperlink>
    </w:p>
    <w:bookmarkEnd w:id="57"/>
    <w:bookmarkStart w:id="59"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8">
        <w:r>
          <w:rPr>
            <w:rStyle w:val="Hyperlink"/>
          </w:rPr>
          <w:t xml:space="preserve">https://doi.org/10.1016/j.psychres.2018.06.031</w:t>
        </w:r>
      </w:hyperlink>
    </w:p>
    <w:bookmarkEnd w:id="59"/>
    <w:bookmarkStart w:id="60"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60"/>
    <w:bookmarkStart w:id="62"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61">
        <w:r>
          <w:rPr>
            <w:rStyle w:val="Hyperlink"/>
          </w:rPr>
          <w:t xml:space="preserve">https://doi.org/10.1016/j.drugalcdep.2016.08.625</w:t>
        </w:r>
      </w:hyperlink>
    </w:p>
    <w:bookmarkEnd w:id="62"/>
    <w:bookmarkStart w:id="64"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3">
        <w:r>
          <w:rPr>
            <w:rStyle w:val="Hyperlink"/>
          </w:rPr>
          <w:t xml:space="preserve">https://doi.org/10.1146/annurev-clinpsy-032511-143041</w:t>
        </w:r>
      </w:hyperlink>
    </w:p>
    <w:bookmarkEnd w:id="64"/>
    <w:bookmarkStart w:id="66"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5">
        <w:r>
          <w:rPr>
            <w:rStyle w:val="Hyperlink"/>
          </w:rPr>
          <w:t xml:space="preserve">https://doi.org/10.1016/s0741-8329(98)00065-2</w:t>
        </w:r>
      </w:hyperlink>
    </w:p>
    <w:bookmarkEnd w:id="66"/>
    <w:bookmarkStart w:id="6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67"/>
    <w:bookmarkStart w:id="69"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8">
        <w:r>
          <w:rPr>
            <w:rStyle w:val="Hyperlink"/>
          </w:rPr>
          <w:t xml:space="preserve">https://doi.org/10.1037/0021-843X.112.2.219</w:t>
        </w:r>
      </w:hyperlink>
    </w:p>
    <w:bookmarkEnd w:id="69"/>
    <w:bookmarkStart w:id="71"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70">
        <w:r>
          <w:rPr>
            <w:rStyle w:val="Hyperlink"/>
          </w:rPr>
          <w:t xml:space="preserve">https://doi.org/10.1016/j.ajp.2016.08.003</w:t>
        </w:r>
      </w:hyperlink>
    </w:p>
    <w:bookmarkEnd w:id="71"/>
    <w:bookmarkStart w:id="73"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72">
        <w:r>
          <w:rPr>
            <w:rStyle w:val="Hyperlink"/>
          </w:rPr>
          <w:t xml:space="preserve">https://doi.org/10.1111/j.1360-0443.2009.02611.x</w:t>
        </w:r>
      </w:hyperlink>
    </w:p>
    <w:bookmarkEnd w:id="73"/>
    <w:bookmarkStart w:id="75"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4">
        <w:r>
          <w:rPr>
            <w:rStyle w:val="Hyperlink"/>
          </w:rPr>
          <w:t xml:space="preserve">https://doi.org/10.1016/j.jsat.2008.04.001</w:t>
        </w:r>
      </w:hyperlink>
    </w:p>
    <w:bookmarkEnd w:id="75"/>
    <w:bookmarkStart w:id="77"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6">
        <w:r>
          <w:rPr>
            <w:rStyle w:val="Hyperlink"/>
          </w:rPr>
          <w:t xml:space="preserve">https://doi.org/10.1016/j.drugalcdep.2018.03.016</w:t>
        </w:r>
      </w:hyperlink>
    </w:p>
    <w:bookmarkEnd w:id="77"/>
    <w:bookmarkStart w:id="78"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8"/>
    <w:bookmarkStart w:id="80"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9">
        <w:r>
          <w:rPr>
            <w:rStyle w:val="Hyperlink"/>
          </w:rPr>
          <w:t xml:space="preserve">https://doi.org/10.1016/j.abrep.2018.100157</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1">
        <w:r>
          <w:rPr>
            <w:rStyle w:val="Hyperlink"/>
          </w:rPr>
          <w:t xml:space="preserve">https://doi.org/10.1037/a0022889</w:t>
        </w:r>
      </w:hyperlink>
    </w:p>
    <w:bookmarkEnd w:id="92"/>
    <w:bookmarkStart w:id="9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3">
        <w:r>
          <w:rPr>
            <w:rStyle w:val="Hyperlink"/>
          </w:rPr>
          <w:t xml:space="preserve">https://doi.org/10.2196/41833</w:t>
        </w:r>
      </w:hyperlink>
    </w:p>
    <w:bookmarkEnd w:id="94"/>
    <w:bookmarkStart w:id="9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5">
        <w:r>
          <w:rPr>
            <w:rStyle w:val="Hyperlink"/>
          </w:rPr>
          <w:t xml:space="preserve">https://doi.org/10.1037/abn0000901</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68"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68"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2025-10-02T19:27:44Z</dcterms:created>
  <dcterms:modified xsi:type="dcterms:W3CDTF">2025-10-02T19:27:44Z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