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2025-10-16</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environement at a later point. For example, late night phone calls could indicate an emergency,</w:t>
      </w:r>
      <w:r>
        <w:t xml:space="preserve"> </w:t>
      </w:r>
      <w:r>
        <w:t xml:space="preserve">“drunk dialing”</w:t>
      </w:r>
      <w:r>
        <w:t xml:space="preserve">, or other risk-relevant interactions, while an expanding or shrinking social circle could be characterized by the number of unique contacts someone has communicated with.</w:t>
      </w:r>
    </w:p>
    <w:p>
      <w:pPr>
        <w:pStyle w:val="BodyText"/>
      </w:pPr>
      <w:r>
        <w:t xml:space="preserve">These data may become even more powerful when communication contacts are contextualized with personal meaning for a given participant (e.g., Who is this contact to them? How pleasant or unpleasant is a typical interaction with them? Have they drank with them in the past?). In this scenario, contextualized communication logs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1" w:name="discussion"/>
    <w:p>
      <w:pPr>
        <w:pStyle w:val="Heading1"/>
      </w:pPr>
      <w:r>
        <w:t xml:space="preserve">Discussion</w:t>
      </w:r>
    </w:p>
    <w:p>
      <w:pPr>
        <w:pStyle w:val="FirstParagraph"/>
      </w:pPr>
      <w:r>
        <w:t xml:space="preserve">Our machine learning model incorporating cellular communications achieved fair performance, with an auROC of 0.68, indicating that some signal was present in the data. However, we found no incremental predictive value compared to a baseline model that included only demographic variables and self-report measures. In the full model, which combined cellular communication and baseline measures, the four most important predictors were all self-report variables: abstinence confidence, abstinence goal, negative affect efficacy, and craving.</w:t>
      </w:r>
    </w:p>
    <w:p>
      <w:pPr>
        <w:pStyle w:val="BodyText"/>
      </w:pPr>
      <w:r>
        <w:t xml:space="preserve">This finding suggests that cellular communication data may not add substantial information for predicting lapse risk beyond what can already be captured by brief self-report and demographic measures. Nonetheless, it is notable that several communication features were retained in the final model with moderately sized coefficients. These features, including communications with people unaware of the participant’s recovery status, with non-drinkers, with friends, and with individuals who were unpleasant to interact with, may still offer some insight into lapse vulnerability.</w:t>
      </w:r>
      <w:r>
        <w:t xml:space="preserve"> </w:t>
      </w:r>
    </w:p>
    <w:p>
      <w:pPr>
        <w:pStyle w:val="BodyText"/>
      </w:pPr>
      <w:r>
        <w:t xml:space="preserve">In contrast, raw counts of calls and text messages and call durations were not retained in the final model. This implies that the quantity of communications alone may be less informative for lapse prediction than the quality and social meaning of the interactions. Future research may benefit from collecting richer contextual information about communication contacts to better understand the social dynamics contributing to lapse risk. Even with highly contextualized communication data, however, prediction may be constrained by data sparsity. Many participants had relatively few communications per day, and some had extended periods with no recorded interactions at all. Such sparsity limits the capacity of these data to capture short-term fluctuations in lapse risk.</w:t>
      </w:r>
    </w:p>
    <w:p>
      <w:pPr>
        <w:pStyle w:val="BodyText"/>
      </w:pPr>
      <w:r>
        <w:t xml:space="preserve">Our study design may have further contributed to this limitation. We collected only phone and SMS text communications through the native smartphone app. Yet, in recent years, many individuals have shifted their primary communication to private messaging apps (e.g., WhatsApp, Signal) or social media platforms (e.g., Facebook Messenger, Instagram)</w:t>
      </w:r>
      <w:r>
        <w:t xml:space="preserve"> </w:t>
      </w:r>
      <w:r>
        <w:t xml:space="preserve">(</w:t>
      </w:r>
      <w:r>
        <w:rPr>
          <w:b/>
          <w:bCs/>
        </w:rPr>
        <w:t xml:space="preserve">mcdowellPreferencesAttitudesDigital2025?</w:t>
      </w:r>
      <w:r>
        <w:t xml:space="preserve">)</w:t>
      </w:r>
      <w:r>
        <w:t xml:space="preserve">. As a result, our dataset likely did not capture the full range of participants’ social interactions. Future studies could examine whether communication data from these platforms yield stronger predictive signal.</w:t>
      </w:r>
    </w:p>
    <w:p>
      <w:pPr>
        <w:pStyle w:val="BodyText"/>
      </w:pPr>
      <w:r>
        <w:t xml:space="preserve">Overall, our findings suggest that models using passive cellular sensing captured limited incremental signal for lapse prediction beyond demographic and self-report measures. While we do not rule out the potential value of cellular communication data in certain contexts, our results underscore the need to explore other passive sensing methods, such as geolocation, which may provide denser data that captures different aspects of daily life relevant to lapse risk.</w:t>
      </w:r>
    </w:p>
    <w:p>
      <w:r>
        <w:br w:type="page"/>
      </w:r>
    </w:p>
    <w:bookmarkStart w:id="70" w:name="refs"/>
    <w:bookmarkStart w:id="45"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4">
        <w:r>
          <w:rPr>
            <w:rStyle w:val="Hyperlink"/>
          </w:rPr>
          <w:t xml:space="preserve">https://doi.org/10.1016/j.jsat.2013.08.004</w:t>
        </w:r>
      </w:hyperlink>
    </w:p>
    <w:bookmarkEnd w:id="45"/>
    <w:bookmarkStart w:id="47" w:name="ref-dennisManagingAddictionChronic2007"/>
    <w:p>
      <w:pPr>
        <w:pStyle w:val="Bibliography"/>
      </w:pPr>
      <w:r>
        <w:t xml:space="preserve">Dennis, M., &amp; Scott, C. K. (2007).</w:t>
      </w:r>
      <w:r>
        <w:t xml:space="preserve"> </w:t>
      </w:r>
      <w:hyperlink r:id="rId4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47"/>
    <w:bookmarkStart w:id="48"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48"/>
    <w:bookmarkStart w:id="50" w:name="X72fdb242290119aefa439c46cdcc18630f6c0fa"/>
    <w:p>
      <w:pPr>
        <w:pStyle w:val="Bibliography"/>
      </w:pPr>
      <w:r>
        <w:t xml:space="preserve">Flannery, B. A., Volpicelli, J. R., &amp; Pettinati, H. M. (1999).</w:t>
      </w:r>
      <w:r>
        <w:t xml:space="preserve"> </w:t>
      </w:r>
      <w:hyperlink r:id="rId49">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0"/>
    <w:bookmarkStart w:id="5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1"/>
    <w:bookmarkStart w:id="5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2">
        <w:r>
          <w:rPr>
            <w:rStyle w:val="Hyperlink"/>
          </w:rPr>
          <w:t xml:space="preserve">https://doi.org/10.1016/j.jsat.2008.04.001</w:t>
        </w:r>
      </w:hyperlink>
    </w:p>
    <w:bookmarkEnd w:id="53"/>
    <w:bookmarkStart w:id="55"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54">
        <w:r>
          <w:rPr>
            <w:rStyle w:val="Hyperlink"/>
          </w:rPr>
          <w:t xml:space="preserve">https://doi.org/10.1080/1533256X.2011.593445</w:t>
        </w:r>
      </w:hyperlink>
    </w:p>
    <w:bookmarkEnd w:id="55"/>
    <w:bookmarkStart w:id="57"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56">
        <w:r>
          <w:rPr>
            <w:rStyle w:val="Hyperlink"/>
          </w:rPr>
          <w:t xml:space="preserve">https://doi.org/10.1001/jama.284.13.1689</w:t>
        </w:r>
      </w:hyperlink>
    </w:p>
    <w:bookmarkEnd w:id="57"/>
    <w:bookmarkStart w:id="59"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58">
        <w:r>
          <w:rPr>
            <w:rStyle w:val="Hyperlink"/>
          </w:rPr>
          <w:t xml:space="preserve">https://doi.org/10.1146/annurev-clinpsy-032816-044949</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2"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2"/>
    <w:bookmarkStart w:id="64"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3">
        <w:r>
          <w:rPr>
            <w:rStyle w:val="Hyperlink"/>
          </w:rPr>
          <w:t xml:space="preserve">https://doi.org/10.1016/j.jsat.2004.09.006</w:t>
        </w:r>
      </w:hyperlink>
    </w:p>
    <w:bookmarkEnd w:id="64"/>
    <w:bookmarkStart w:id="66"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65">
        <w:r>
          <w:rPr>
            <w:rStyle w:val="Hyperlink"/>
          </w:rPr>
          <w:t xml:space="preserve">https://doi.org/10.1037/a0022889</w:t>
        </w:r>
      </w:hyperlink>
    </w:p>
    <w:bookmarkEnd w:id="66"/>
    <w:bookmarkStart w:id="67"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67"/>
    <w:bookmarkStart w:id="69"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68">
        <w:r>
          <w:rPr>
            <w:rStyle w:val="Hyperlink"/>
          </w:rPr>
          <w:t xml:space="preserve">https://doi.org/10.1037/abn0000901</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preview.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1/jama.284.13.1689" TargetMode="External" /><Relationship Type="http://schemas.openxmlformats.org/officeDocument/2006/relationships/hyperlink" Id="rId60" Target="https://doi.org/10.1016/j.jpsychires.2020.04.003" TargetMode="External" /><Relationship Type="http://schemas.openxmlformats.org/officeDocument/2006/relationships/hyperlink" Id="rId63" Target="https://doi.org/10.1016/j.jsat.2004.09.006" TargetMode="External" /><Relationship Type="http://schemas.openxmlformats.org/officeDocument/2006/relationships/hyperlink" Id="rId52" Target="https://doi.org/10.1016/j.jsat.2008.04.001" TargetMode="External" /><Relationship Type="http://schemas.openxmlformats.org/officeDocument/2006/relationships/hyperlink" Id="rId44" Target="https://doi.org/10.1016/j.jsat.2013.08.004" TargetMode="External" /><Relationship Type="http://schemas.openxmlformats.org/officeDocument/2006/relationships/hyperlink" Id="rId65" Target="https://doi.org/10.1037/a0022889" TargetMode="External" /><Relationship Type="http://schemas.openxmlformats.org/officeDocument/2006/relationships/hyperlink" Id="rId68" Target="https://doi.org/10.1037/abn0000901" TargetMode="External" /><Relationship Type="http://schemas.openxmlformats.org/officeDocument/2006/relationships/hyperlink" Id="rId54" Target="https://doi.org/10.1080/1533256X.2011.593445" TargetMode="External" /><Relationship Type="http://schemas.openxmlformats.org/officeDocument/2006/relationships/hyperlink" Id="rId58" Target="https://doi.org/10.1146/annurev-clinpsy-032816-044949"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preview.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46" Target="https://www.ncbi.nlm.nih.gov/pmc/articles/PMC2797101" TargetMode="External" /><Relationship Type="http://schemas.openxmlformats.org/officeDocument/2006/relationships/hyperlink" Id="rId49"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2025-10-17T01:49:37Z</dcterms:created>
  <dcterms:modified xsi:type="dcterms:W3CDTF">2025-10-17T01:49:37Z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