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2026-01-11</w:t>
      </w:r>
    </w:p>
    <w:p>
      <w:pPr>
        <w:pStyle w:val="AbstractTitle"/>
      </w:pPr>
      <w:r>
        <w:t xml:space="preserve">Abstract</w:t>
      </w:r>
    </w:p>
    <w:p>
      <w:pPr>
        <w:pStyle w:val="Abstract"/>
      </w:pPr>
      <w:r>
        <w:t xml:space="preserve">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(Marlatt &amp; Donovan, 2007; Marlatt &amp; Gordon, 1985)</w:t>
      </w:r>
      <w:r>
        <w:t xml:space="preserve">. While lapses can occur at any point in recovery, they are particularly risky during early recovery</w:t>
      </w:r>
      <w:r>
        <w:t xml:space="preserve"> </w:t>
      </w:r>
      <w:r>
        <w:t xml:space="preserve">(Daley &amp; Douaihy, 2019)</w:t>
      </w:r>
      <w:r>
        <w:t xml:space="preserve">. Protective coping mechanisms and socio-environmental resources that support recovery are dynamic and accumulate over time</w:t>
      </w:r>
      <w:r>
        <w:t xml:space="preserve"> </w:t>
      </w:r>
      <w:r>
        <w:t xml:space="preserve">(Cleveland et al., 2021)</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data have achieved excellent accuracy</w:t>
      </w:r>
      <w:r>
        <w:t xml:space="preserve"> </w:t>
      </w:r>
      <w:r>
        <w:t xml:space="preserve">(Chih et al., 2014; Wyant et al., 2024, under review)</w:t>
      </w:r>
      <w:r>
        <w:t xml:space="preserve">.</w:t>
      </w:r>
    </w:p>
    <w:p>
      <w:pPr>
        <w:pStyle w:val="BodyText"/>
      </w:pPr>
      <w:r>
        <w:t xml:space="preserve">Still, questions remain about the long-term feasibility of self-report sensing methods and whether new, important risk factors might emerge from sensing methods that passively collect smartphone data without user input.</w:t>
      </w:r>
      <w:r>
        <w:t xml:space="preserve"> </w:t>
      </w:r>
    </w:p>
    <w:p>
      <w:pPr>
        <w:pStyle w:val="BodyText"/>
      </w:pPr>
      <w:r>
        <w:t xml:space="preserve">Cellular communication sensing may be one promising method. It offers the potential for greater temporal specificity for capturing fluctuations in risk compared with self-report data (i.e., as it occurs vs. prompting users to make reports the next day</w:t>
      </w:r>
      <w:r>
        <w:t xml:space="preserve">). Late night phone calls could indicate an emergency,</w:t>
      </w:r>
      <w:r>
        <w:t xml:space="preserve"> </w:t>
      </w:r>
      <w:r>
        <w:t xml:space="preserve">“drunk dialing”</w:t>
      </w:r>
      <w:r>
        <w:t xml:space="preserve">, or interpersonal conflict. It can also capture risk-relevant constructs difficult for people to self report, such as slow changing social patterns. A decrease in the number of contacts someone is communicating with could indicate a shrinking social circle, isolation, or disengagement.</w:t>
      </w:r>
    </w:p>
    <w:p>
      <w:pPr>
        <w:pStyle w:val="BodyText"/>
      </w:pPr>
      <w:r>
        <w:t xml:space="preserve">These passive data may become more powerful still when communications are contextualized with personal meaning for a given participant (e.g., Who is this contact to them?). In the above examples, contextualized communication data might reveal that late-night phone calls are to a sponsor or that a shrinking social circle is due to reduced contact with people unsupportive of their recovery.</w:t>
      </w:r>
      <w:r>
        <w:t xml:space="preserve"> </w:t>
      </w:r>
    </w:p>
    <w:p>
      <w:pPr>
        <w:pStyle w:val="BodyText"/>
      </w:pPr>
      <w:r>
        <w:t xml:space="preserve">In this study, we evaluated the performance of a machine learning model that predicts the probability of a next-day alcohol lapse among individuals in early recovery from AUD using contextualized cellular communication data. We also describe the most important features contributing to these predictions, with the goal of identifying new, clinically meaningful features emerging from communication-based sensing.</w:t>
      </w:r>
      <w:r>
        <w:t xml:space="preserve"> </w:t>
      </w:r>
    </w:p>
    <w:bookmarkEnd w:id="21"/>
    <w:bookmarkStart w:id="32"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0"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p>
      <w:pPr>
        <w:pStyle w:val="BodyText"/>
      </w:pPr>
      <w:r>
        <w:t xml:space="preserve">We filtered the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scoring epochs (6, 12, 24, 48, 72, and 168 hours before the start of the prediction window) to create features. Within each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rate count of text messages across all time on study subtracted from the rate count in the preceding 48 hours).</w:t>
      </w:r>
    </w:p>
    <w:p>
      <w:pPr>
        <w:pStyle w:val="BodyText"/>
      </w:pPr>
      <w:r>
        <w:t xml:space="preserve">The full model included 406 features from cellular communication data plus 24 numeric or dummy-coded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and removing zero and near-zero variance features as determined from held-in data.</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6"/>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7">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All Tables for Main Manuscript</w:t>
        </w:r>
      </w:hyperlink>
    </w:p>
    <w:bookmarkEnd w:id="30"/>
    <w:bookmarkStart w:id="31"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1"/>
    <w:bookmarkEnd w:id="32"/>
    <w:bookmarkStart w:id="43" w:name="results"/>
    <w:p>
      <w:pPr>
        <w:pStyle w:val="Heading1"/>
      </w:pPr>
      <w:r>
        <w:t xml:space="preserve">Results</w:t>
      </w:r>
    </w:p>
    <w:bookmarkStart w:id="35" w:name="participants"/>
    <w:p>
      <w:pPr>
        <w:pStyle w:val="Heading2"/>
      </w:pPr>
      <w:r>
        <w:t xml:space="preserve">Participants</w:t>
      </w:r>
    </w:p>
    <w:p>
      <w:pPr>
        <w:pStyle w:val="FirstParagraph"/>
      </w:pPr>
      <w:r>
        <w:t xml:space="preserve">We screened 192 participants. Of these, 169 enrolled and 154 completed the first follow-up visit. Data from 1 participant was excluded due to not reporting a goal of abstinence and lapsing multiple times a day every day on study.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All Tables for Main Manuscript</w:t>
        </w:r>
      </w:hyperlink>
    </w:p>
    <w:bookmarkEnd w:id="35"/>
    <w:bookmarkStart w:id="3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75"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Notably, the communication features that were retained in the final model were scored over the longest scoring epochs (72 and 168 hours), suggesting that when more data are available (i.e., more communications) these features may be become more important.</w:t>
      </w:r>
      <w:r>
        <w:t xml:space="preserve"> </w:t>
      </w:r>
      <w:r>
        <w:t xml:space="preserve">Future studies could explore whether increasing communication data from these alternative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(S. Bae et al., 2017)</w:t>
      </w:r>
      <w:r>
        <w:t xml:space="preserve"> </w:t>
      </w:r>
      <w:r>
        <w:t xml:space="preserve">and predict future</w:t>
      </w:r>
      <w:r>
        <w:t xml:space="preserve"> </w:t>
      </w:r>
      <w:r>
        <w:t xml:space="preserve">(S. W. Bae et al., 2023)</w:t>
      </w:r>
      <w:r>
        <w:t xml:space="preserve"> </w:t>
      </w:r>
      <w:r>
        <w:t xml:space="preserve">heavy drinking episondes in non-treatment seeking young adult populations. However, even in these instances, the unique contribution of cellular communications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p>
      <w:r>
        <w:br w:type="page"/>
      </w:r>
    </w:p>
    <w:bookmarkStart w:id="74"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clevelandRecoveryRecoveryCapital2021"/>
    <w:p>
      <w:pPr>
        <w:pStyle w:val="Bibliography"/>
      </w:pPr>
      <w:r>
        <w:t xml:space="preserve">Cleveland, H. H., Brick, T. R., Knapp, K. S., &amp; Croff, J. M. (2021).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J. M. Croff &amp; J. Beaman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w:t>
      </w:r>
      <w:r>
        <w:t xml:space="preserve">(pp. 109–128). Springer International Publishing.</w:t>
      </w:r>
      <w:r>
        <w:t xml:space="preserve"> </w:t>
      </w:r>
      <w:hyperlink r:id="rId50">
        <w:r>
          <w:rPr>
            <w:rStyle w:val="Hyperlink"/>
          </w:rPr>
          <w:t xml:space="preserve">https://doi.org/10.1007/978-3-030-56958-7_6</w:t>
        </w:r>
      </w:hyperlink>
    </w:p>
    <w:bookmarkEnd w:id="51"/>
    <w:bookmarkStart w:id="53" w:name="ref-daleyReducingRiskRelapse2019"/>
    <w:p>
      <w:pPr>
        <w:pStyle w:val="Bibliography"/>
      </w:pPr>
      <w:r>
        <w:t xml:space="preserve">Daley, D. C., &amp; Douaihy, A. (2019). Reducing the</w:t>
      </w:r>
      <w:r>
        <w:t xml:space="preserve"> </w:t>
      </w:r>
      <w:r>
        <w:t xml:space="preserve">Risk</w:t>
      </w:r>
      <w:r>
        <w:t xml:space="preserve"> </w:t>
      </w:r>
      <w:r>
        <w:t xml:space="preserve">of</w:t>
      </w:r>
      <w:r>
        <w:t xml:space="preserve"> </w:t>
      </w:r>
      <w:r>
        <w:t xml:space="preserve">Relapse</w:t>
      </w:r>
      <w:r>
        <w:t xml:space="preserve">. In D. C. Daley, A. B. Douaihy, D. C. Daley, &amp; A. Douaihy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w:t>
      </w:r>
      <w:r>
        <w:t xml:space="preserve">(p. 0). Oxford University Press.</w:t>
      </w:r>
      <w:r>
        <w:t xml:space="preserve"> </w:t>
      </w:r>
      <w:hyperlink r:id="rId52">
        <w:r>
          <w:rPr>
            <w:rStyle w:val="Hyperlink"/>
          </w:rPr>
          <w:t xml:space="preserve">https://doi.org/10.1093/med-psych/9780190926717.003.0018</w:t>
        </w:r>
      </w:hyperlink>
    </w:p>
    <w:bookmarkEnd w:id="53"/>
    <w:bookmarkStart w:id="55" w:name="ref-dennisManagingAddictionChronic2007"/>
    <w:p>
      <w:pPr>
        <w:pStyle w:val="Bibliography"/>
      </w:pPr>
      <w:r>
        <w:t xml:space="preserve">Dennis, M., &amp; Scott, C. K. (2007).</w:t>
      </w:r>
      <w:r>
        <w:t xml:space="preserve"> </w:t>
      </w:r>
      <w:hyperlink r:id="rId5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5"/>
    <w:bookmarkStart w:id="5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6"/>
    <w:bookmarkStart w:id="58" w:name="X72fdb242290119aefa439c46cdcc18630f6c0fa"/>
    <w:p>
      <w:pPr>
        <w:pStyle w:val="Bibliography"/>
      </w:pPr>
      <w:r>
        <w:t xml:space="preserve">Flannery, B. A., Volpicelli, J. R., &amp; Pettinati, H. M. (1999).</w:t>
      </w:r>
      <w:r>
        <w:t xml:space="preserve"> </w:t>
      </w:r>
      <w:hyperlink r:id="rId5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8"/>
    <w:bookmarkStart w:id="59"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9"/>
    <w:bookmarkStart w:id="6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60"/>
    <w:bookmarkStart w:id="61"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61"/>
    <w:bookmarkStart w:id="63"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62">
        <w:r>
          <w:rPr>
            <w:rStyle w:val="Hyperlink"/>
          </w:rPr>
          <w:t xml:space="preserve">https://doi.org/10.2147/PPA.S474535</w:t>
        </w:r>
      </w:hyperlink>
    </w:p>
    <w:bookmarkEnd w:id="63"/>
    <w:bookmarkStart w:id="65"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64">
        <w:r>
          <w:rPr>
            <w:rStyle w:val="Hyperlink"/>
          </w:rPr>
          <w:t xml:space="preserve">https://doi.org/10.1080/1533256X.2011.593445</w:t>
        </w:r>
      </w:hyperlink>
    </w:p>
    <w:bookmarkEnd w:id="65"/>
    <w:bookmarkStart w:id="67"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6">
        <w:r>
          <w:rPr>
            <w:rStyle w:val="Hyperlink"/>
          </w:rPr>
          <w:t xml:space="preserve">https://doi.org/10.1001/jama.284.13.1689</w:t>
        </w:r>
      </w:hyperlink>
    </w:p>
    <w:bookmarkEnd w:id="67"/>
    <w:bookmarkStart w:id="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68">
        <w:r>
          <w:rPr>
            <w:rStyle w:val="Hyperlink"/>
          </w:rPr>
          <w:t xml:space="preserve">https://doi.org/10.1146/annurev-clinpsy-032816-044949</w:t>
        </w:r>
      </w:hyperlink>
    </w:p>
    <w:bookmarkEnd w:id="69"/>
    <w:bookmarkStart w:id="70"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70"/>
    <w:bookmarkStart w:id="71"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1"/>
    <w:bookmarkStart w:id="73"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72">
        <w:r>
          <w:rPr>
            <w:rStyle w:val="Hyperlink"/>
          </w:rPr>
          <w:t xml:space="preserve">https://doi.org/10.1037/abn0000901</w:t>
        </w:r>
      </w:hyperlink>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2026-01-12T01:02:59Z</dcterms:created>
  <dcterms:modified xsi:type="dcterms:W3CDTF">2026-01-12T01:02:59Z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2026-01-11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