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2026-04-17</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for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10"/>
    <w:bookmarkStart w:id="23"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[14]</w:t>
      </w:r>
      <w:r>
        <w:t xml:space="preserve"> </w:t>
      </w:r>
      <w:r>
        <w:t xml:space="preserve">in the supplement. Second, our features, labels, questionnaires, and other study materials are publicly available on our Open Science Framework (OSF) page (</w:t>
      </w:r>
      <w:hyperlink r:id="rId11">
        <w:r>
          <w:rPr>
            <w:rStyle w:val="Hyperlink"/>
          </w:rPr>
          <w:t xml:space="preserve">https://osf.io/wgpz9/</w:t>
        </w:r>
      </w:hyperlink>
      <w:r>
        <w:t xml:space="preserve">). Finally, the annotated analysis scripts are publicly available on our study website (</w:t>
      </w:r>
      <w:hyperlink r:id="rId12">
        <w:r>
          <w:rPr>
            <w:rStyle w:val="Hyperlink"/>
          </w:rPr>
          <w:t xml:space="preserve">https://jjcurtin.github.io/study_messages/</w:t>
        </w:r>
      </w:hyperlink>
      <w:r>
        <w:t xml:space="preserve">).</w:t>
      </w:r>
    </w:p>
    <w:bookmarkEnd w:id="13"/>
    <w:bookmarkStart w:id="14"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[17]</w:t>
      </w:r>
      <w:r>
        <w:t xml:space="preserve">, and psychiatric symptoms</w:t>
      </w:r>
      <w:r>
        <w:t xml:space="preserve"> </w:t>
      </w:r>
      <w:r>
        <w:t xml:space="preserve">[16,18]</w:t>
      </w:r>
      <w:r>
        <w:t xml:space="preserve">). At the intake visit, approximately two weeks after screening, we collected additional self-report data on abstinence self-efficacy</w:t>
      </w:r>
      <w:r>
        <w:t xml:space="preserve"> </w:t>
      </w:r>
      <w:r>
        <w:t xml:space="preserve">[19]</w:t>
      </w:r>
      <w:r>
        <w:t xml:space="preserve">, craving</w:t>
      </w:r>
      <w:r>
        <w:t xml:space="preserve"> </w:t>
      </w:r>
      <w:r>
        <w:t xml:space="preserve">[20]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22" w:name="data-analysis-plan"/>
    <w:p>
      <w:pPr>
        <w:pStyle w:val="Heading2"/>
      </w:pPr>
      <w:r>
        <w:t xml:space="preserve">Data Analysis Plan</w:t>
      </w:r>
    </w:p>
    <w:bookmarkStart w:id="1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6"/>
    <w:bookmarkStart w:id="19"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17"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Total Number of Features, and Indication of Inclusion in Full and Baseline Models</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Make All Tables for Main Manuscript</w:t>
        </w:r>
      </w:hyperlink>
    </w:p>
    <w:bookmarkEnd w:id="19"/>
    <w:bookmarkStart w:id="20"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20"/>
    <w:bookmarkStart w:id="21" w:name="model-evaluation"/>
    <w:p>
      <w:pPr>
        <w:pStyle w:val="Heading3"/>
      </w:pPr>
      <w:r>
        <w:t xml:space="preserve">Model Evaluation</w:t>
      </w:r>
    </w:p>
    <w:p>
      <w:pPr>
        <w:pStyle w:val="FirstParagraph"/>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21"/>
    <w:bookmarkEnd w:id="22"/>
    <w:bookmarkEnd w:id="23"/>
    <w:bookmarkStart w:id="34" w:name="results"/>
    <w:p>
      <w:pPr>
        <w:pStyle w:val="Heading1"/>
      </w:pPr>
      <w:r>
        <w:t xml:space="preserve">Results</w:t>
      </w:r>
    </w:p>
    <w:bookmarkStart w:id="26"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All Tables for Main Manuscript</w:t>
        </w:r>
      </w:hyperlink>
    </w:p>
    <w:bookmarkEnd w:id="26"/>
    <w:bookmarkStart w:id="27"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7"/>
    <w:bookmarkStart w:id="33" w:name="model-evaluation-1"/>
    <w:p>
      <w:pPr>
        <w:pStyle w:val="Heading2"/>
      </w:pPr>
      <w:r>
        <w:t xml:space="preserve">Model Evaluation</w:t>
      </w:r>
    </w:p>
    <w:p>
      <w:pPr>
        <w:pStyle w:val="FirstParagraph"/>
      </w:pPr>
      <w:r>
        <w:t xml:space="preserve">The median posterior auROC for the best performing full model was 0.67, 95% CI [0.64, 0.71].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[0.65, 0.72]).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providing evidence that the model is capturing some signal in the data.</w:t>
      </w:r>
      <w:r>
        <w:t xml:space="preserve"> </w:t>
      </w:r>
      <w:r>
        <w:t xml:space="preserve">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334000" cy="3333749"/>
                  <wp:effectExtent b="0" l="0" r="0" t="0"/>
                  <wp:docPr descr="" title="" id="29" name="Picture"/>
                  <a:graphic>
                    <a:graphicData uri="http://schemas.openxmlformats.org/drawingml/2006/picture">
                      <pic:pic>
                        <pic:nvPicPr>
                          <pic:cNvPr descr="index_files/figure-docx/notebooks-mak_figures-fig-1-output-1.png" id="30" name="Picture"/>
                          <pic:cNvPicPr>
                            <a:picLocks noChangeArrowheads="1" noChangeAspect="1"/>
                          </pic:cNvPicPr>
                        </pic:nvPicPr>
                        <pic:blipFill>
                          <a:blip r:embed="rId2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Make All Figures for Main Manuscript</w:t>
        </w:r>
      </w:hyperlink>
    </w:p>
    <w:bookmarkEnd w:id="33"/>
    <w:bookmarkEnd w:id="34"/>
    <w:bookmarkStart w:id="35"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[21]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[22]</w:t>
      </w:r>
      <w:r>
        <w:t xml:space="preserve"> </w:t>
      </w:r>
      <w:r>
        <w:t xml:space="preserve">and predict future</w:t>
      </w:r>
      <w:r>
        <w:t xml:space="preserve"> </w:t>
      </w:r>
      <w:r>
        <w:t xml:space="preserve">[23]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5"/>
    <w:bookmarkStart w:id="36" w:name="acknowledgments"/>
    <w:p>
      <w:pPr>
        <w:pStyle w:val="Heading1"/>
      </w:pPr>
      <w:r>
        <w:t xml:space="preserve">Acknowledgments</w:t>
      </w:r>
    </w:p>
    <w:p>
      <w:pPr>
        <w:pStyle w:val="FirstParagraph"/>
      </w:pPr>
      <w:r>
        <w:t xml:space="preserve">The authors wish to thank Susan E. Wanta for her role as the project administrator.</w:t>
      </w:r>
    </w:p>
    <w:bookmarkEnd w:id="36"/>
    <w:bookmarkStart w:id="3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7"/>
    <w:bookmarkStart w:id="38"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8"/>
    <w:bookmarkStart w:id="39"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9"/>
    <w:bookmarkStart w:id="40"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40"/>
    <w:bookmarkStart w:id="82" w:name="references"/>
    <w:p>
      <w:pPr>
        <w:pStyle w:val="Heading1"/>
      </w:pPr>
      <w:r>
        <w:t xml:space="preserve">References</w:t>
      </w:r>
    </w:p>
    <w:bookmarkStart w:id="81" w:name="refs"/>
    <w:bookmarkStart w:id="42"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1">
        <w:r>
          <w:rPr>
            <w:rStyle w:val="Hyperlink"/>
          </w:rPr>
          <w:t xml:space="preserve">10.1001/jama.284.13.1689</w:t>
        </w:r>
      </w:hyperlink>
    </w:p>
    <w:bookmarkEnd w:id="42"/>
    <w:bookmarkStart w:id="44" w:name="ref-dennisManagingAddictionChronic2007"/>
    <w:p>
      <w:pPr>
        <w:pStyle w:val="Bibliography"/>
      </w:pPr>
      <w:r>
        <w:t xml:space="preserve">2.</w:t>
      </w:r>
      <w:r>
        <w:t xml:space="preserve"> </w:t>
      </w:r>
      <w:r>
        <w:t xml:space="preserve">	</w:t>
      </w:r>
      <w:r>
        <w:t xml:space="preserve">Dennis M, Scott CK.</w:t>
      </w:r>
      <w:r>
        <w:t xml:space="preserve"> </w:t>
      </w:r>
      <w:hyperlink r:id="rId4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4"/>
    <w:bookmarkStart w:id="45"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5"/>
    <w:bookmarkStart w:id="46"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6"/>
    <w:bookmarkStart w:id="47"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7"/>
    <w:bookmarkStart w:id="49"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8">
        <w:r>
          <w:rPr>
            <w:rStyle w:val="Hyperlink"/>
          </w:rPr>
          <w:t xml:space="preserve">10.1093/med-psych/9780190926717.003.0018</w:t>
        </w:r>
      </w:hyperlink>
    </w:p>
    <w:bookmarkEnd w:id="49"/>
    <w:bookmarkStart w:id="51"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50">
        <w:r>
          <w:rPr>
            <w:rStyle w:val="Hyperlink"/>
          </w:rPr>
          <w:t xml:space="preserve">10.1007/978-3-030-56958-7_6</w:t>
        </w:r>
      </w:hyperlink>
    </w:p>
    <w:bookmarkEnd w:id="51"/>
    <w:bookmarkStart w:id="53"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2">
        <w:r>
          <w:rPr>
            <w:rStyle w:val="Hyperlink"/>
          </w:rPr>
          <w:t xml:space="preserve">10.1146/annurev-clinpsy-032816-044949</w:t>
        </w:r>
      </w:hyperlink>
    </w:p>
    <w:bookmarkEnd w:id="53"/>
    <w:bookmarkStart w:id="55"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4">
        <w:r>
          <w:rPr>
            <w:rStyle w:val="Hyperlink"/>
          </w:rPr>
          <w:t xml:space="preserve">10.1016/j.jsat.2013.08.004</w:t>
        </w:r>
      </w:hyperlink>
    </w:p>
    <w:bookmarkEnd w:id="55"/>
    <w:bookmarkStart w:id="57"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6">
        <w:r>
          <w:rPr>
            <w:rStyle w:val="Hyperlink"/>
          </w:rPr>
          <w:t xml:space="preserve">10.1037/abn0000901</w:t>
        </w:r>
      </w:hyperlink>
    </w:p>
    <w:bookmarkEnd w:id="57"/>
    <w:bookmarkStart w:id="58"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8"/>
    <w:bookmarkStart w:id="60"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9">
        <w:r>
          <w:rPr>
            <w:rStyle w:val="Hyperlink"/>
          </w:rPr>
          <w:t xml:space="preserve">10/gfsjzg</w:t>
        </w:r>
      </w:hyperlink>
    </w:p>
    <w:bookmarkEnd w:id="60"/>
    <w:bookmarkStart w:id="62"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1">
        <w:r>
          <w:rPr>
            <w:rStyle w:val="Hyperlink"/>
          </w:rPr>
          <w:t xml:space="preserve">10.2196/41833</w:t>
        </w:r>
      </w:hyperlink>
    </w:p>
    <w:bookmarkEnd w:id="62"/>
    <w:bookmarkStart w:id="64" w:name="X126aebe61d5329fdf5f31356b05d81ee3379203"/>
    <w:p>
      <w:pPr>
        <w:pStyle w:val="Bibliography"/>
      </w:pPr>
      <w:r>
        <w:t xml:space="preserve">14.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63">
        <w:r>
          <w:rPr>
            <w:rStyle w:val="Hyperlink"/>
          </w:rPr>
          <w:t xml:space="preserve">10.1038/s41562-019-0772-6</w:t>
        </w:r>
      </w:hyperlink>
    </w:p>
    <w:bookmarkEnd w:id="64"/>
    <w:bookmarkStart w:id="65" w:name="ref-hsiehSampleSizeTables1989"/>
    <w:p>
      <w:pPr>
        <w:pStyle w:val="Bibliography"/>
      </w:pPr>
      <w:r>
        <w:t xml:space="preserve">15.</w:t>
      </w:r>
      <w:r>
        <w:t xml:space="preserve"> </w:t>
      </w:r>
      <w:r>
        <w:t xml:space="preserve">	</w:t>
      </w:r>
      <w:r>
        <w:t xml:space="preserve">Hsieh F. Sample size tables for logistic regression. Statistics in Medicine. 1989;8: 795–802.</w:t>
      </w:r>
      <w:r>
        <w:t xml:space="preserve"> </w:t>
      </w:r>
    </w:p>
    <w:bookmarkEnd w:id="65"/>
    <w:bookmarkStart w:id="66" w:name="ref-derogatislBriefSymptomInventory"/>
    <w:p>
      <w:pPr>
        <w:pStyle w:val="Bibliography"/>
      </w:pPr>
      <w:r>
        <w:t xml:space="preserve">16.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66"/>
    <w:bookmarkStart w:id="68" w:name="X88039606d7b5c64f85ee8ea71703c6bdc3d9351"/>
    <w:p>
      <w:pPr>
        <w:pStyle w:val="Bibliography"/>
      </w:pPr>
      <w:r>
        <w:t xml:space="preserve">17.</w:t>
      </w:r>
      <w:r>
        <w:t xml:space="preserve"> </w:t>
      </w:r>
      <w:r>
        <w:t xml:space="preserve">	</w:t>
      </w:r>
      <w:r>
        <w:t xml:space="preserve">Patrick CJ, Curtin JJ, Tellegen A.</w:t>
      </w:r>
      <w:r>
        <w:t xml:space="preserve"> </w:t>
      </w:r>
      <w:hyperlink r:id="rId67">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68"/>
    <w:bookmarkStart w:id="70" w:name="X7237f3e8ec0394639ac33af78d4502788e325cb"/>
    <w:p>
      <w:pPr>
        <w:pStyle w:val="Bibliography"/>
      </w:pPr>
      <w:r>
        <w:t xml:space="preserve">18.</w:t>
      </w:r>
      <w:r>
        <w:t xml:space="preserve"> </w:t>
      </w:r>
      <w:r>
        <w:t xml:space="preserve">	</w:t>
      </w:r>
      <w:r>
        <w:t xml:space="preserve">Lovibond PF, Lovibond SH.</w:t>
      </w:r>
      <w:r>
        <w:t xml:space="preserve"> </w:t>
      </w:r>
      <w:hyperlink r:id="rId69">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70"/>
    <w:bookmarkStart w:id="72" w:name="Xcae8ce16b0973d3f8a23c89fe6ee90c012f333c"/>
    <w:p>
      <w:pPr>
        <w:pStyle w:val="Bibliography"/>
      </w:pPr>
      <w:r>
        <w:t xml:space="preserve">19.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71">
        <w:r>
          <w:rPr>
            <w:rStyle w:val="Hyperlink"/>
          </w:rPr>
          <w:t xml:space="preserve">10.1080/1533256X.2011.593445</w:t>
        </w:r>
      </w:hyperlink>
    </w:p>
    <w:bookmarkEnd w:id="72"/>
    <w:bookmarkStart w:id="74" w:name="X72fdb242290119aefa439c46cdcc18630f6c0fa"/>
    <w:p>
      <w:pPr>
        <w:pStyle w:val="Bibliography"/>
      </w:pPr>
      <w:r>
        <w:t xml:space="preserve">20.</w:t>
      </w:r>
      <w:r>
        <w:t xml:space="preserve"> </w:t>
      </w:r>
      <w:r>
        <w:t xml:space="preserve">	</w:t>
      </w:r>
      <w:r>
        <w:t xml:space="preserve">Flannery BA, Volpicelli JR, Pettinati HM.</w:t>
      </w:r>
      <w:r>
        <w:t xml:space="preserve"> </w:t>
      </w:r>
      <w:hyperlink r:id="rId73">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74"/>
    <w:bookmarkStart w:id="76" w:name="X948b064f539498125570f43a275c11fe3804a5f"/>
    <w:p>
      <w:pPr>
        <w:pStyle w:val="Bibliography"/>
      </w:pPr>
      <w:r>
        <w:t xml:space="preserve">21.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75">
        <w:r>
          <w:rPr>
            <w:rStyle w:val="Hyperlink"/>
          </w:rPr>
          <w:t xml:space="preserve">10.2147/PPA.S474535</w:t>
        </w:r>
      </w:hyperlink>
    </w:p>
    <w:bookmarkEnd w:id="76"/>
    <w:bookmarkStart w:id="78" w:name="ref-baeDetectingDrinkingEpisodes2017"/>
    <w:p>
      <w:pPr>
        <w:pStyle w:val="Bibliography"/>
      </w:pPr>
      <w:r>
        <w:t xml:space="preserve">22.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77">
        <w:r>
          <w:rPr>
            <w:rStyle w:val="Hyperlink"/>
          </w:rPr>
          <w:t xml:space="preserve">10.1145/3090051</w:t>
        </w:r>
      </w:hyperlink>
    </w:p>
    <w:bookmarkEnd w:id="78"/>
    <w:bookmarkStart w:id="80" w:name="ref-baeLeveragingMobilePhone2023"/>
    <w:p>
      <w:pPr>
        <w:pStyle w:val="Bibliography"/>
      </w:pPr>
      <w:r>
        <w:t xml:space="preserve">23.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79">
        <w:r>
          <w:rPr>
            <w:rStyle w:val="Hyperlink"/>
          </w:rPr>
          <w:t xml:space="preserve">10.2196/39862</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41"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54" Target="https://doi.org/10.1016/j.jsat.2013.08.004" TargetMode="External" /><Relationship Type="http://schemas.openxmlformats.org/officeDocument/2006/relationships/hyperlink" Id="rId56" Target="https://doi.org/10.1037/abn0000901" TargetMode="External" /><Relationship Type="http://schemas.openxmlformats.org/officeDocument/2006/relationships/hyperlink" Id="rId63" Target="https://doi.org/10.1038/s41562-019-0772-6" TargetMode="External" /><Relationship Type="http://schemas.openxmlformats.org/officeDocument/2006/relationships/hyperlink" Id="rId71" Target="https://doi.org/10.1080/1533256X.2011.593445" TargetMode="External" /><Relationship Type="http://schemas.openxmlformats.org/officeDocument/2006/relationships/hyperlink" Id="rId48" Target="https://doi.org/10.1093/med-psych/9780190926717.003.0018" TargetMode="External" /><Relationship Type="http://schemas.openxmlformats.org/officeDocument/2006/relationships/hyperlink" Id="rId77" Target="https://doi.org/10.1145/3090051" TargetMode="External" /><Relationship Type="http://schemas.openxmlformats.org/officeDocument/2006/relationships/hyperlink" Id="rId52" Target="https://doi.org/10.1146/annurev-clinpsy-032816-044949" TargetMode="External" /><Relationship Type="http://schemas.openxmlformats.org/officeDocument/2006/relationships/hyperlink" Id="rId75" Target="https://doi.org/10.2147/PPA.S474535" TargetMode="External" /><Relationship Type="http://schemas.openxmlformats.org/officeDocument/2006/relationships/hyperlink" Id="rId79" Target="https://doi.org/10.2196/39862" TargetMode="External" /><Relationship Type="http://schemas.openxmlformats.org/officeDocument/2006/relationships/hyperlink" Id="rId61" Target="https://doi.org/10.2196/41833" TargetMode="External" /><Relationship Type="http://schemas.openxmlformats.org/officeDocument/2006/relationships/hyperlink" Id="rId59" Target="https://doi.org/10/gfsjzg"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73" Target="https://www.ncbi.nlm.nih.gov/pubmed/10470970" TargetMode="External" /><Relationship Type="http://schemas.openxmlformats.org/officeDocument/2006/relationships/hyperlink" Id="rId67" Target="https://www.ncbi.nlm.nih.gov/pubmed/12056077" TargetMode="External" /><Relationship Type="http://schemas.openxmlformats.org/officeDocument/2006/relationships/hyperlink" Id="rId69"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54" Target="https://doi.org/10.1016/j.jsat.2013.08.004" TargetMode="External" /><Relationship Type="http://schemas.openxmlformats.org/officeDocument/2006/relationships/hyperlink" Id="rId56" Target="https://doi.org/10.1037/abn0000901" TargetMode="External" /><Relationship Type="http://schemas.openxmlformats.org/officeDocument/2006/relationships/hyperlink" Id="rId63" Target="https://doi.org/10.1038/s41562-019-0772-6" TargetMode="External" /><Relationship Type="http://schemas.openxmlformats.org/officeDocument/2006/relationships/hyperlink" Id="rId71" Target="https://doi.org/10.1080/1533256X.2011.593445" TargetMode="External" /><Relationship Type="http://schemas.openxmlformats.org/officeDocument/2006/relationships/hyperlink" Id="rId48" Target="https://doi.org/10.1093/med-psych/9780190926717.003.0018" TargetMode="External" /><Relationship Type="http://schemas.openxmlformats.org/officeDocument/2006/relationships/hyperlink" Id="rId77" Target="https://doi.org/10.1145/3090051" TargetMode="External" /><Relationship Type="http://schemas.openxmlformats.org/officeDocument/2006/relationships/hyperlink" Id="rId52" Target="https://doi.org/10.1146/annurev-clinpsy-032816-044949" TargetMode="External" /><Relationship Type="http://schemas.openxmlformats.org/officeDocument/2006/relationships/hyperlink" Id="rId75" Target="https://doi.org/10.2147/PPA.S474535" TargetMode="External" /><Relationship Type="http://schemas.openxmlformats.org/officeDocument/2006/relationships/hyperlink" Id="rId79" Target="https://doi.org/10.2196/39862" TargetMode="External" /><Relationship Type="http://schemas.openxmlformats.org/officeDocument/2006/relationships/hyperlink" Id="rId61" Target="https://doi.org/10.2196/41833" TargetMode="External" /><Relationship Type="http://schemas.openxmlformats.org/officeDocument/2006/relationships/hyperlink" Id="rId59" Target="https://doi.org/10/gfsjzg"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73" Target="https://www.ncbi.nlm.nih.gov/pubmed/10470970" TargetMode="External" /><Relationship Type="http://schemas.openxmlformats.org/officeDocument/2006/relationships/hyperlink" Id="rId67" Target="https://www.ncbi.nlm.nih.gov/pubmed/12056077" TargetMode="External" /><Relationship Type="http://schemas.openxmlformats.org/officeDocument/2006/relationships/hyperlink" Id="rId69"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2026-04-17T23:09:48Z</dcterms:created>
  <dcterms:modified xsi:type="dcterms:W3CDTF">2026-04-17T23:09:48Z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2026-04-17</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