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103.png" ContentType="image/png"/>
  <Override PartName="/word/media/rId108.png" ContentType="image/png"/>
  <Override PartName="/word/media/rId113.png" ContentType="image/png"/>
  <Override PartName="/word/media/rId54.png" ContentType="image/png"/>
  <Override PartName="/word/media/rId97.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19.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2024-10-21</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r>
        <w:t xml:space="preserve">.</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w:t>
      </w:r>
    </w:p>
    <w:bookmarkEnd w:id="20"/>
    <w:bookmarkStart w:id="21" w:name="current-study"/>
    <w:p>
      <w:pPr>
        <w:pStyle w:val="Heading2"/>
      </w:pPr>
      <w:r>
        <w:t xml:space="preserve">Current Study</w:t>
      </w:r>
    </w:p>
    <w:p>
      <w:pPr>
        <w:pStyle w:val="FirstParagraph"/>
      </w:pPr>
      <w:r>
        <w:t xml:space="preserve">In the current study, we ran participants text messages over a period of three months feature engineering techniques through the LIWC program. We used generated features as inputs to models that predict alcohol lapses. We evaluated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LIWC to predict alcohol lapses.</w:t>
      </w:r>
      <w:r>
        <w:t xml:space="preserve"> </w:t>
      </w:r>
      <w:r>
        <w:t xml:space="preserve">We used LIWC to engineer features from raw SMS messages. For each distinct feature set derived from a variety of configurations, we trained machine learning models a contemporary statistical algorithms (XGBoost). We evaluated and statistically compared the model performance, quantified as area under the receiver operating characteristic curve (auROC).</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used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evaluated model performance in demographic subgroups that face excessive barriers accessing alcohol treatments or medications, including females, racial minorities, individuals living under poverty, and older population.</w:t>
      </w:r>
    </w:p>
    <w:p>
      <w:r>
        <w:br w:type="page"/>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 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might derive top-performing features from a theory-driven approach. A theory-driven approach involves integrating domain-specific knowledge of known risks for alcohol lapses from a relapse prevention model into the algorithms. Such features are pre-specified 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Smart DTx algorithms should also incorporate features that are interpretable and can map on to current interventions. Exemplary features that are highly interpretable include those derived from the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LIWC might have good performance because they allow researchers to mine previously established robust construct of alcohol lapse precursors. For example, LIWC has categories that are associated with affect and social process which are indicative of alcohol-related outcomes.</w:t>
      </w:r>
    </w:p>
    <w:p>
      <w:pPr>
        <w:pStyle w:val="BodyText"/>
      </w:pPr>
      <w:r>
        <w:t xml:space="preserve">NLP also offers avenues for model interpretation to yield valuable insights into treatment recommendations. LIWC can generate features that are highly interpretable and some might even relate to extant interventions.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utilized LIWC to predict lapses from SMS message content. More specifically, we compared different configurations varying in prediction window length and unit of analysis. We evaluated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were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had predictor sets that differ in prediction window length and their analytic unit. We defined text prediction windows to be 3-day and 1-week preceding the lapse window (see</w:t>
      </w:r>
      <w:r>
        <w:t xml:space="preserve"> </w:t>
      </w:r>
      <w:hyperlink w:anchor="fig-window">
        <w:r>
          <w:rPr>
            <w:rStyle w:val="Hyperlink"/>
          </w:rPr>
          <w:t xml:space="preserve">Figure 2</w:t>
        </w:r>
      </w:hyperlink>
      <w:r>
        <w:t xml:space="preserve">).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Prediction Window</w:t>
            </w:r>
          </w:p>
          <w:bookmarkEnd w:id="42"/>
        </w:tc>
      </w:tr>
    </w:tbl>
    <w:bookmarkEnd w:id="43"/>
    <w:bookmarkEnd w:id="44"/>
    <w:bookmarkStart w:id="48" w:name="model-training"/>
    <w:p>
      <w:pPr>
        <w:pStyle w:val="Heading2"/>
      </w:pPr>
      <w:r>
        <w:t xml:space="preserve">Model Training</w:t>
      </w:r>
    </w:p>
    <w:bookmarkStart w:id="45" w:name="feature-engineering"/>
    <w:p>
      <w:pPr>
        <w:pStyle w:val="Heading3"/>
      </w:pPr>
      <w:r>
        <w:t xml:space="preserve">Feature Engineering</w:t>
      </w:r>
    </w:p>
    <w:p>
      <w:pPr>
        <w:pStyle w:val="FirstParagraph"/>
      </w:pPr>
      <w:r>
        <w:t xml:space="preserve">Text messages served as the only raw source for all feature engineering. The document sets (varying based on unit of analysis)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which was the default choice from the program. We applied the normalization on all LIWC categories other than word count, word per sentence, and the four summary measures – analytic, clout, authenticity, and tone. We excluded the four summary categories because their raw scores were not normalized on raw word counts. Our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(i.e., default method from the program), normalized on the square root of word count, and a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Across all models that differed on the above discussed configurations, the best model was selected based on the highest median auROC across all validation sets (see</w:t>
      </w:r>
      <w:r>
        <w:t xml:space="preserve"> </w:t>
      </w:r>
      <w:r>
        <w:rPr>
          <w:i/>
          <w:iCs/>
        </w:rPr>
        <w:t xml:space="preserve">Section Machine Learning Algorithm</w:t>
      </w:r>
      <w:r>
        <w:t xml:space="preserve">).</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calculated the predicted probability scores for all our observations based on the best model configuration and then obtained the median auROC score across all 300 validation sets in the inner fold. 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determined if they included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subgroups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within each of above individual characteristics). We reported the 95% CI for model performance differences and examined if they included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For better understanding, we aggregated Shapley values for each LIWC category, regardless of their prediction window and normalization methods.</w:t>
      </w:r>
    </w:p>
    <w:p>
      <w:r>
        <w:br w:type="page"/>
      </w:r>
    </w:p>
    <w:bookmarkEnd w:id="51"/>
    <w:bookmarkEnd w:id="52"/>
    <w:bookmarkEnd w:id="53"/>
    <w:bookmarkStart w:id="132"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30 - 90;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100 - 15884). The average message length across all participants is 10.42 words (sd = 14.30, median = 7.00, range = 1 - 1266).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1 - 1414)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1 - 2866)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102" w:name="liwc-features"/>
    <w:p>
      <w:pPr>
        <w:pStyle w:val="Heading2"/>
      </w:pPr>
      <w:r>
        <w:t xml:space="preserve">LIWC Features</w:t>
      </w:r>
    </w:p>
    <w:p>
      <w:pPr>
        <w:pStyle w:val="FirstParagraph"/>
      </w:pPr>
      <w:r>
        <w:t xml:space="preserve">We obtained LIWC scores from 117 linguistic categories. These categories include total word count, number of words per sentence, the four summary categories (analytic, clout, authentic, and tone), and other linguistic categories such as social and pronouns. Notably, LIWC-22 now incorporates a</w:t>
      </w:r>
      <w:r>
        <w:t xml:space="preserve"> </w:t>
      </w:r>
      <w:r>
        <w:rPr>
          <w:i/>
          <w:iCs/>
        </w:rPr>
        <w:t xml:space="preserve">health</w:t>
      </w:r>
      <w:r>
        <w:t xml:space="preserve"> </w:t>
      </w:r>
      <w:r>
        <w:t xml:space="preserve">dimension that includes phrases related to illness, wellness, mental health (diagnoses or behaviors), and substances. For each unit of analysis, we had 468 engineered features.</w:t>
      </w:r>
    </w:p>
    <w:p>
      <w:pPr>
        <w:pStyle w:val="BodyText"/>
      </w:pPr>
      <w:r>
        <w:t xml:space="preserve">When our unit of analysis was on individual messages (see</w:t>
      </w:r>
      <w:r>
        <w:t xml:space="preserve"> </w:t>
      </w:r>
      <w:hyperlink w:anchor="tbl-panel">
        <w:r>
          <w:rPr>
            <w:rStyle w:val="Hyperlink"/>
          </w:rPr>
          <w:t xml:space="preserve">Table 2</w:t>
        </w:r>
      </w:hyperlink>
      <w:r>
        <w:t xml:space="preserve"> </w:t>
      </w:r>
      <w:r>
        <w:t xml:space="preserve">and</w:t>
      </w:r>
      <w:r>
        <w:t xml:space="preserve"> </w:t>
      </w:r>
      <w:hyperlink w:anchor="fig-liwc_ind">
        <w:r>
          <w:rPr>
            <w:rStyle w:val="Hyperlink"/>
          </w:rPr>
          <w:t xml:space="preserve">Figure 8</w:t>
        </w:r>
      </w:hyperlink>
      <w:r>
        <w:t xml:space="preserve">), the median of all median LIWC feature scores excluding the six unnormalized categories within each 3-day prediction window ranged from 0.00 to 2.45 (median = 0.00, sd = 0.34). The median of all median LIWC feature scores excluding the six unnormalized categories within each 1-week prediction window ranged from 0.00 to 2.45 (median = 0.00, sd = 0.35). The max of all median LIWC feature scores excluding the six unnormalized categories within each 3-day prediction window ranged from 0.00 to 11.58 (median = 0.80, sd = 1.60). The max of all median LIWC feature scores excluding the six unnormalized categories within each 1-week prediction window ranged from 0.00 to 8.89 (median = 0.63, sd = 1.25).</w:t>
      </w:r>
    </w:p>
    <w:p>
      <w:pPr>
        <w:pStyle w:val="BodyText"/>
      </w:pPr>
      <w:r>
        <w:t xml:space="preserve">The median of all 95% percentile LIWC feature scores excluding the six unnormalized categories within each 3-day prediction window ranged from 0.00 to 4.74 (median = 0.30, sd = 0.70). The median of all 95% percentile LIWC feature scores excluding the six unnormalized categories within each 1-week prediction window ranged from 0.00 to 4.89 (median = 0.34, sd = 0.72). The max of all 95% percentile LIWC feature scores excluding the six unnormalized categories within each 3-day prediction window ranged from 0.36 to 17.51 (median = 1.15, sd = 2.40). The max of all 95% percentile LIWC feature scores excluding the six unnormalized categories within each 1-week prediction window ranged from 0.35 to 18.42 (median = 1.00, sd = 2.47).</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Engineered Feature Scores (Median and 95% Quantile Scores from Individual Messages) for the Six Unnormalized Categories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Engineered Feature Scores (Median or 95% Percentile of Normalized LIWC Score From Individual Messages) Within Each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p>
      <w:pPr>
        <w:pStyle w:val="BodyText"/>
      </w:pPr>
      <w:r>
        <w:t xml:space="preserve">When our unit of analysis was on concatenated messages (see</w:t>
      </w:r>
      <w:r>
        <w:t xml:space="preserve"> </w:t>
      </w:r>
      <w:hyperlink w:anchor="tbl-panel2">
        <w:r>
          <w:rPr>
            <w:rStyle w:val="Hyperlink"/>
          </w:rPr>
          <w:t xml:space="preserve">Table 3</w:t>
        </w:r>
      </w:hyperlink>
      <w:r>
        <w:t xml:space="preserve">,</w:t>
      </w:r>
      <w:r>
        <w:t xml:space="preserve"> </w:t>
      </w:r>
      <w:hyperlink w:anchor="fig-liwc_cat_raw">
        <w:r>
          <w:rPr>
            <w:rStyle w:val="Hyperlink"/>
          </w:rPr>
          <w:t xml:space="preserve">Figure 9</w:t>
        </w:r>
      </w:hyperlink>
      <w:r>
        <w:t xml:space="preserve"> </w:t>
      </w:r>
      <w:r>
        <w:t xml:space="preserve">and</w:t>
      </w:r>
      <w:r>
        <w:t xml:space="preserve"> </w:t>
      </w:r>
      <w:hyperlink w:anchor="fig-liwc_cat_norm">
        <w:r>
          <w:rPr>
            <w:rStyle w:val="Hyperlink"/>
          </w:rPr>
          <w:t xml:space="preserve">Figure 10</w:t>
        </w:r>
      </w:hyperlink>
      <w:r>
        <w:t xml:space="preserve">), the median of all raw feature scores within the 3-day prediction window ranged from 0.00 to 91.36 (median = 1.32, sd = 12.64). The median of all raw feature scores within the 1-week prediction window ranged from 0.00 to 91.30 (median = 1.36, sd = 12.63). The max of all raw feature scores within the 3-day prediction window ranged from 3.85 to 166.67 (median = 33.33, sd = 37.64). The max of all raw feature scores within the 1-week prediction window ranged from 1.82 to 166.67 (median = 27.27, sd = 35.21).</w:t>
      </w:r>
    </w:p>
    <w:p>
      <w:pPr>
        <w:pStyle w:val="BodyText"/>
      </w:pPr>
      <w:r>
        <w:t xml:space="preserve">The median of all normalized feature scores within the 3-day prediction window ranged from 0.00 to 20.63 (median = 0.32, sd = 2.85). The median of all normalized feature scores within the 1-week prediction window ranged from 0.00 to 30.69 (median = 0.47, sd = 4.25). The max of all normalized feature scores within the 3-day prediction window ranged from 0.37 to 106.55 (median = 2.95, sd = 15.11). The max of all normalized feature scores within the 1-week prediction window ranged from 0.29 to 143.30 (median = 3.16, sd = 20.31).</w:t>
      </w:r>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Across the Six Linguistic Categories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_raw"/>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_raw-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Raw LIWC Feature Scores From Concatenated Messages Within Each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tbl>
      <w:tblPr>
        <w:tblStyle w:val="Table"/>
        <w:tblW w:type="pct" w:w="5000"/>
        <w:tblLayout w:type="fixed"/>
        <w:tblLook w:firstRow="0" w:lastRow="0" w:firstColumn="0" w:lastColumn="0" w:noHBand="0" w:noVBand="0" w:val="0000"/>
      </w:tblPr>
      <w:tblGrid>
        <w:gridCol w:w="7920"/>
      </w:tblGrid>
      <w:tr>
        <w:tc>
          <w:tcPr/>
          <w:bookmarkStart w:id="100" w:name="fig-liwc_cat_norm"/>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eda_liwc-fig-liwc_cat_norm-output-1.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Distribution of Normalized LIWC Feature Scores From Concatenated Messages Within Each Prediction Window</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EDA on LIWC Features</w:t>
        </w:r>
      </w:hyperlink>
    </w:p>
    <w:bookmarkEnd w:id="102"/>
    <w:bookmarkStart w:id="118" w:name="best-model-evaluation"/>
    <w:p>
      <w:pPr>
        <w:pStyle w:val="Heading2"/>
      </w:pPr>
      <w:r>
        <w:t xml:space="preserve">Best Model Evaluation</w:t>
      </w:r>
    </w:p>
    <w:p>
      <w:pPr>
        <w:pStyle w:val="FirstParagraph"/>
      </w:pPr>
      <w:r>
        <w:t xml:space="preserve">The best model configuration was the one that leveraged raw LWIC scores from concatenated messages within both the 3-day and 1-week prediction window, and an upsampling technique with a ratio of 1:1. We applied the best configuration on the raw dataset and obtained an auROC score of 0.53 (see</w:t>
      </w:r>
      <w:r>
        <w:t xml:space="preserve"> </w:t>
      </w:r>
      <w:hyperlink w:anchor="fig-auroc">
        <w:r>
          <w:rPr>
            <w:rStyle w:val="Hyperlink"/>
          </w:rPr>
          <w:t xml:space="preserve">Figure 11</w:t>
        </w:r>
      </w:hyperlink>
      <w:r>
        <w:t xml:space="preserve"> </w:t>
      </w:r>
      <w:r>
        <w:t xml:space="preserve">for the ROC curve). We further aggregated predictions by folds, and the median score of all median auROCs across the 300 inner folds was 0.53 (sd = 0.09, range = 0.28 - 0.80; see</w:t>
      </w:r>
      <w:r>
        <w:t xml:space="preserve"> </w:t>
      </w:r>
      <w:hyperlink w:anchor="fig-auroc_hist">
        <w:r>
          <w:rPr>
            <w:rStyle w:val="Hyperlink"/>
          </w:rPr>
          <w:t xml:space="preserve">Figure 12</w:t>
        </w:r>
      </w:hyperlink>
      <w:r>
        <w:t xml:space="preserve">). The median posterior distribution of the auROCs was 0.53 (95% CI = [0.52, 0.54]; see</w:t>
      </w:r>
      <w:r>
        <w:t xml:space="preserve"> </w:t>
      </w:r>
      <w:hyperlink w:anchor="fig-auroc_posterior">
        <w:r>
          <w:rPr>
            <w:rStyle w:val="Hyperlink"/>
          </w:rPr>
          <w:t xml:space="preserve">Figure 13</w:t>
        </w:r>
      </w:hyperlink>
      <w:r>
        <w:t xml:space="preserve">). As the 95% CI did not include .5, we concluded that our model was better than chance performance.</w:t>
      </w:r>
    </w:p>
    <w:tbl>
      <w:tblPr>
        <w:tblStyle w:val="Table"/>
        <w:tblW w:type="pct" w:w="5000"/>
        <w:tblLayout w:type="fixed"/>
        <w:tblLook w:firstRow="0" w:lastRow="0" w:firstColumn="0" w:lastColumn="0" w:noHBand="0" w:noVBand="0" w:val="0000"/>
      </w:tblPr>
      <w:tblGrid>
        <w:gridCol w:w="7920"/>
      </w:tblGrid>
      <w:tr>
        <w:tc>
          <w:tcPr/>
          <w:bookmarkStart w:id="106" w:name="fig-auroc"/>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auROC_plot-fig-auroc-output-2.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ROC Curve for the Best Model Configuration</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1" w:name="fig-auroc_hist"/>
          <w:p>
            <w:pPr>
              <w:pStyle w:val="Compact"/>
              <w:jc w:val="center"/>
            </w:pPr>
            <w:r>
              <w:drawing>
                <wp:inline>
                  <wp:extent cx="5334000" cy="3810000"/>
                  <wp:effectExtent b="0" l="0" r="0" t="0"/>
                  <wp:docPr descr="" title="" id="109" name="Picture"/>
                  <a:graphic>
                    <a:graphicData uri="http://schemas.openxmlformats.org/drawingml/2006/picture">
                      <pic:pic>
                        <pic:nvPicPr>
                          <pic:cNvPr descr="index_files/figure-docx/notebooks-auROC_plot-fig-auroc_hist-output-2.png" id="110" name="Picture"/>
                          <pic:cNvPicPr>
                            <a:picLocks noChangeArrowheads="1" noChangeAspect="1"/>
                          </pic:cNvPicPr>
                        </pic:nvPicPr>
                        <pic:blipFill>
                          <a:blip r:embed="rId10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Distribution of auROCs Across 300 Inner Folds</w:t>
            </w:r>
          </w:p>
          <w:bookmarkEnd w:id="111"/>
        </w:tc>
      </w:tr>
    </w:tbl>
    <w:p>
      <w:pPr>
        <w:pStyle w:val="BodyText"/>
      </w:pPr>
      <w:r>
        <w:rPr>
          <w:vertAlign w:val="subscript"/>
        </w:rPr>
        <w:t xml:space="preserve">Source:</w:t>
      </w:r>
      <w:r>
        <w:rPr>
          <w:vertAlign w:val="subscript"/>
        </w:rPr>
        <w:t xml:space="preserve"> </w:t>
      </w:r>
      <w:hyperlink r:id="rId112">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6" w:name="fig-auroc_posterior"/>
          <w:p>
            <w:pPr>
              <w:pStyle w:val="Compact"/>
              <w:jc w:val="center"/>
            </w:pPr>
            <w:r>
              <w:drawing>
                <wp:inline>
                  <wp:extent cx="5334000" cy="3810000"/>
                  <wp:effectExtent b="0" l="0" r="0" t="0"/>
                  <wp:docPr descr="" title="" id="114" name="Picture"/>
                  <a:graphic>
                    <a:graphicData uri="http://schemas.openxmlformats.org/drawingml/2006/picture">
                      <pic:pic>
                        <pic:nvPicPr>
                          <pic:cNvPr descr="index_files/figure-docx/notebooks-auROC_plot-fig-auroc_posterior-output-1.png" id="115" name="Picture"/>
                          <pic:cNvPicPr>
                            <a:picLocks noChangeArrowheads="1" noChangeAspect="1"/>
                          </pic:cNvPicPr>
                        </pic:nvPicPr>
                        <pic:blipFill>
                          <a:blip r:embed="rId11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Posterior Distribution of auROC Scores</w:t>
            </w:r>
          </w:p>
          <w:bookmarkEnd w:id="116"/>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Performance plots</w:t>
        </w:r>
      </w:hyperlink>
    </w:p>
    <w:bookmarkEnd w:id="118"/>
    <w:bookmarkStart w:id="125" w:name="model-fairness"/>
    <w:p>
      <w:pPr>
        <w:pStyle w:val="Heading2"/>
      </w:pPr>
      <w:r>
        <w:t xml:space="preserve">Model Fairness</w:t>
      </w:r>
    </w:p>
    <w:p>
      <w:pPr>
        <w:pStyle w:val="FirstParagraph"/>
      </w:pPr>
      <w:r>
        <w:t xml:space="preserve">Our model performed consistently worse in unprivileged group vs. privileged group across all four demographic categories (see</w:t>
      </w:r>
      <w:r>
        <w:t xml:space="preserve"> </w:t>
      </w:r>
      <w:hyperlink w:anchor="fig-fairness">
        <w:r>
          <w:rPr>
            <w:rStyle w:val="Hyperlink"/>
          </w:rPr>
          <w:t xml:space="preserve">Figure 14</w:t>
        </w:r>
      </w:hyperlink>
      <w:r>
        <w:t xml:space="preserve"> </w:t>
      </w:r>
      <w:r>
        <w:t xml:space="preserve">and</w:t>
      </w:r>
      <w:r>
        <w:t xml:space="preserve"> </w:t>
      </w:r>
      <w:hyperlink w:anchor="tbl-fairness">
        <w:r>
          <w:rPr>
            <w:rStyle w:val="Hyperlink"/>
          </w:rPr>
          <w:t xml:space="preserve">Table 4</w:t>
        </w:r>
      </w:hyperlink>
      <w:r>
        <w:t xml:space="preserve">). The median of posterior distribution of model performance difference was 0.03 (95%CI = [0.01, 0.06]) for White people compared to People of Color. The posterior distribution of performance differences also indicated that the model performed better in males than in females (median = 0.02, 95%CI = [0.01, 0.04]), in people younger than 55 than people older than 55 (median = 0.04, 95%CI = [0.01, 0.07]), and in people that have higher income than in those who have lower income (median = 0.02, 95%CI = [0.00, 0.04]). All credible intervals did not include 0, indicating that the model significantly worse in unprivileged groups.</w:t>
      </w:r>
    </w:p>
    <w:tbl>
      <w:tblPr>
        <w:tblStyle w:val="Table"/>
        <w:tblW w:type="pct" w:w="5000"/>
        <w:tblLayout w:type="fixed"/>
        <w:tblLook w:firstRow="0" w:lastRow="0" w:firstColumn="0" w:lastColumn="0" w:noHBand="0" w:noVBand="0" w:val="0000"/>
      </w:tblPr>
      <w:tblGrid>
        <w:gridCol w:w="7920"/>
      </w:tblGrid>
      <w:tr>
        <w:tc>
          <w:tcPr/>
          <w:bookmarkStart w:id="122" w:name="fig-fairness"/>
          <w:p>
            <w:pPr>
              <w:pStyle w:val="Compact"/>
              <w:jc w:val="center"/>
            </w:pPr>
            <w:r>
              <w:drawing>
                <wp:inline>
                  <wp:extent cx="5334000" cy="3810000"/>
                  <wp:effectExtent b="0" l="0" r="0" t="0"/>
                  <wp:docPr descr="" title="" id="120" name="Picture"/>
                  <a:graphic>
                    <a:graphicData uri="http://schemas.openxmlformats.org/drawingml/2006/picture">
                      <pic:pic>
                        <pic:nvPicPr>
                          <pic:cNvPr descr="index_files/figure-docx/notebooks-fairness-fig-fairness-output-1.png" id="121" name="Picture"/>
                          <pic:cNvPicPr>
                            <a:picLocks noChangeArrowheads="1" noChangeAspect="1"/>
                          </pic:cNvPicPr>
                        </pic:nvPicPr>
                        <pic:blipFill>
                          <a:blip r:embed="rId11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auROC posterior distribution across different privileged vs. unprivileged groups</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24"/>
        </w:tc>
      </w:tr>
    </w:tbl>
    <w:bookmarkEnd w:id="125"/>
    <w:bookmarkStart w:id="131" w:name="model-interpretation"/>
    <w:p>
      <w:pPr>
        <w:pStyle w:val="Heading2"/>
      </w:pPr>
      <w:r>
        <w:t xml:space="preserve">Model Interpretation</w:t>
      </w:r>
    </w:p>
    <w:p>
      <w:pPr>
        <w:pStyle w:val="FirstParagraph"/>
      </w:pPr>
      <w:r>
        <w:t xml:space="preserve">The top 30 LIWC categories with the highest global shapley values were displayed in</w:t>
      </w:r>
      <w:r>
        <w:t xml:space="preserve"> </w:t>
      </w:r>
      <w:hyperlink w:anchor="fig-shaps">
        <w:r>
          <w:rPr>
            <w:rStyle w:val="Hyperlink"/>
          </w:rPr>
          <w:t xml:space="preserve">Figure 15</w:t>
        </w:r>
      </w:hyperlink>
      <w:r>
        <w:t xml:space="preserve">. Three categories appeared to be the most robust in contributing to model output – social processes (e.g., you, we, he, she), social behavior (e.g., said, love, say, care), and second person pronoun (e.g., you, your, yourself). The other less robust categories included total word count, clout (language of leadership), assent (e.g., yeah, yes, okay, ok), social referents (e.g., you, we, he, she), and prosocial behaviors (e.g., care, help, thank, please).</w:t>
      </w:r>
    </w:p>
    <w:tbl>
      <w:tblPr>
        <w:tblStyle w:val="Table"/>
        <w:tblW w:type="pct" w:w="5000"/>
        <w:tblLayout w:type="fixed"/>
        <w:tblLook w:firstRow="0" w:lastRow="0" w:firstColumn="0" w:lastColumn="0" w:noHBand="0" w:noVBand="0" w:val="0000"/>
      </w:tblPr>
      <w:tblGrid>
        <w:gridCol w:w="7920"/>
      </w:tblGrid>
      <w:tr>
        <w:tc>
          <w:tcPr/>
          <w:bookmarkStart w:id="129" w:name="fig-shaps"/>
          <w:p>
            <w:pPr>
              <w:pStyle w:val="Compact"/>
              <w:jc w:val="center"/>
            </w:pPr>
            <w:r>
              <w:drawing>
                <wp:inline>
                  <wp:extent cx="5334000" cy="3810000"/>
                  <wp:effectExtent b="0" l="0" r="0" t="0"/>
                  <wp:docPr descr="" title="" id="127" name="Picture"/>
                  <a:graphic>
                    <a:graphicData uri="http://schemas.openxmlformats.org/drawingml/2006/picture">
                      <pic:pic>
                        <pic:nvPicPr>
                          <pic:cNvPr descr="index_files/figure-docx/notebooks-shaps-fig-shaps-output-1.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Shapley Value</w:t>
            </w:r>
          </w:p>
          <w:bookmarkEnd w:id="129"/>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shaps</w:t>
        </w:r>
      </w:hyperlink>
    </w:p>
    <w:p>
      <w:r>
        <w:br w:type="page"/>
      </w:r>
    </w:p>
    <w:bookmarkEnd w:id="131"/>
    <w:bookmarkEnd w:id="132"/>
    <w:bookmarkStart w:id="254" w:name="discussions"/>
    <w:p>
      <w:pPr>
        <w:pStyle w:val="Heading1"/>
      </w:pPr>
      <w:r>
        <w:t xml:space="preserve">Discussions</w:t>
      </w:r>
    </w:p>
    <w:p>
      <w:pPr>
        <w:pStyle w:val="FirstParagraph"/>
      </w:pPr>
      <w:r>
        <w:t xml:space="preserve">Overall, our best machine learning model configuration leveraging linguistic categories from SMS messages to predict a single episode of alcohol lapse achieved an auROC score of .53. Despite that the model performed better than chance, its relatively slight increase indicated that LIWC was not sufficient enough to extract signals that predict alcohol lapse. Our LIWC model only serves as a baseline model, and more robust features need to be engineered from SMS messages to achieve better prediction.</w:t>
      </w:r>
    </w:p>
    <w:p>
      <w:pPr>
        <w:pStyle w:val="BodyText"/>
      </w:pPr>
      <w:r>
        <w:t xml:space="preserve">To improve model performance, we might consider subsetting messages based on their types. For instance, we can analyze incoming and outgoing messages individually. By distinguishing between the two, we might get a more refined understanding of communication dynamics. For example, incoming messages might indicate the level of social support one gets and outgoing messages might reflect their level of self-disclosure and willingness to seek help. In the current study, we have taken a different approach that combined the two message types together. Although it provides an overview of social interations between participants and their contacts, it might overlook some nuanced distinctions underlying texts from those two message types. On the other hand, it is important to emphasize potential drawbacks to separate the two message types, especially given the limited number of messages (see</w:t>
      </w:r>
      <w:r>
        <w:t xml:space="preserve"> </w:t>
      </w:r>
      <w:r>
        <w:rPr>
          <w:i/>
          <w:iCs/>
        </w:rPr>
        <w:t xml:space="preserve">Section Sample Distribution</w:t>
      </w:r>
      <w:r>
        <w:t xml:space="preserve">) associated with each label. It might lead to the problem of data sparsity which might even exacerbate model performance and decrease its generalizability.</w:t>
      </w:r>
    </w:p>
    <w:p>
      <w:pPr>
        <w:pStyle w:val="BodyText"/>
      </w:pPr>
      <w:r>
        <w:t xml:space="preserve">We can further try a variety of other natural language processing techniques for feature engineering including topic modeling, sentiment analysis, n-grams approach and word embeddings. Topic modeling is an unsupervised machine learning method to identify clusters of topics in a body of text. Sentiment Analysis infers the emotional underpinning of texts. We will extract both emotional valence (i.e., positive, neutral, and negative emotional tone) and basic emotion categories (e.g., anger, fear) from SMS messages. Research has found that positive/negative emotional state to be associated with increased alcohol relapse risks</w:t>
      </w:r>
      <w:r>
        <w:t xml:space="preserve"> </w:t>
      </w:r>
      <w:r>
        <w:t xml:space="preserve">(Brown, Vik, and Creamer 1989; J. R. McKay 1999; James R. McKay et al. 2006)</w:t>
      </w:r>
      <w:r>
        <w:t xml:space="preserve">. An n-gram approach represents bags-of-words occurrences inside a document. We can leverage a combination of term frequency and inverse document frequency to mine word importance inside a document. Word embeddings are vectors that represent relationships of words within a document in a lower-dimension.</w:t>
      </w:r>
    </w:p>
    <w:p>
      <w:pPr>
        <w:pStyle w:val="BodyText"/>
      </w:pPr>
      <w:r>
        <w:t xml:space="preserve">Note that these feature engineering techniques encompass both top-down approaches and bottom-up approaches and thus differ in their interpretability. Topic modeling, n-grams, and word embeddings are exemplary empirically-driven methods. Sentiment analysis aligns with concepts in affect science. Features built from these top-down approaches may be more interpretable and can map on to current interventions. Importantly, our desired predictive model should not only have good predictive ability but also be interpretable enough to understand intervention-relevant risk factors.</w:t>
      </w:r>
    </w:p>
    <w:p>
      <w:pPr>
        <w:pStyle w:val="BodyText"/>
      </w:pPr>
      <w:r>
        <w:t xml:space="preserve">The minimal signal we detected in SMS messages might also reflect that text messages itself is not an effective data source to predict lapses. One potential reason might include that most people do not engage in enough texting behaviors that produce meaningful patterns near the time of lapsing. Some people might also not use text messaging as their main source of communication. The lack of sufficient data points curtails machine learning models’ ability to detect risk-relevant signals. Additionally, text messages might not convey information indicative of risk-relevant factors such as alcohol cravings</w:t>
      </w:r>
      <w:r>
        <w:t xml:space="preserve"> </w:t>
      </w:r>
      <w:r>
        <w:t xml:space="preserve">(J. R. McKay 1999; Korlakunta, Chary, and Reddy 2012-07/2012-12; Wyant et al. 2024)</w:t>
      </w:r>
      <w:r>
        <w:t xml:space="preserve">. Communications in SMS messages might involve casual and monotonous interactions which lacks specificity to effectively predict lapses.</w:t>
      </w:r>
    </w:p>
    <w:p>
      <w:pPr>
        <w:pStyle w:val="BodyText"/>
      </w:pPr>
      <w:r>
        <w:t xml:space="preserve">Alternatively, we can explore adoption of metadata from text messages and voice calls as predictive features. Those metadata include number of messages within a prediction window, contextual information related to the contact person, timing of messages or calls, etc. We can mine sudden changes to messaging or calling behaviors from those metadata that might signal enhanced lapse risks. For example, an increased number of late night outgoing messages might indicate a sudden mood change preceding a lapse.</w:t>
      </w:r>
    </w:p>
    <w:p>
      <w:pPr>
        <w:pStyle w:val="BodyText"/>
      </w:pPr>
      <w:r>
        <w:t xml:space="preserve">Surprisingly, despite the low performance score, we still witnessed consistent unfairness in our algorithm for unprivileged demographic subgroups. One key factor that contributed to the model biases might be the disproportionate representation of subgroups such as racial minorities. Importantly, however, our model still systematically misrepresented other demographic subgroups even if they were well-represented in our training data. The other explanation might be that our features were inherently biased against subgroups. People from different demographic groups might display different language styles, and LIWC might be more attuned to those from the majority groups. As such, we should further try other natural language processing techniques that incorporate more fair features.</w:t>
      </w:r>
    </w:p>
    <w:p>
      <w:pPr>
        <w:pStyle w:val="BodyText"/>
      </w:pPr>
      <w:r>
        <w:t xml:space="preserve">In sum, our machine learning algorithm had minimal increase in performance compared to random guess. The results call for further exploration of other feature engineering techniques to build models that have higher performance, are interpretable and have low algorithmic biases.</w:t>
      </w:r>
    </w:p>
    <w:p>
      <w:r>
        <w:br w:type="page"/>
      </w:r>
    </w:p>
    <w:bookmarkStart w:id="253" w:name="refs"/>
    <w:bookmarkStart w:id="134"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33">
        <w:r>
          <w:rPr>
            <w:rStyle w:val="Hyperlink"/>
          </w:rPr>
          <w:t xml:space="preserve">https://doi.org/10.1007/s13311-019-00814-4</w:t>
        </w:r>
      </w:hyperlink>
      <w:r>
        <w:t xml:space="preserve">.</w:t>
      </w:r>
    </w:p>
    <w:bookmarkEnd w:id="134"/>
    <w:bookmarkStart w:id="136"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35">
        <w:r>
          <w:rPr>
            <w:rStyle w:val="Hyperlink"/>
          </w:rPr>
          <w:t xml:space="preserve">https://doi.org/10.1093/jamia/ocy166</w:t>
        </w:r>
      </w:hyperlink>
      <w:r>
        <w:t xml:space="preserve">.</w:t>
      </w:r>
    </w:p>
    <w:bookmarkEnd w:id="136"/>
    <w:bookmarkStart w:id="138"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37">
        <w:r>
          <w:rPr>
            <w:rStyle w:val="Hyperlink"/>
          </w:rPr>
          <w:t xml:space="preserve">https://doi.org/10.1109/iCCECOME.2018.8658578</w:t>
        </w:r>
      </w:hyperlink>
      <w:r>
        <w:t xml:space="preserve">.</w:t>
      </w:r>
    </w:p>
    <w:bookmarkEnd w:id="138"/>
    <w:bookmarkStart w:id="140"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39">
        <w:r>
          <w:rPr>
            <w:rStyle w:val="Hyperlink"/>
          </w:rPr>
          <w:t xml:space="preserve">https://doi.org/10.1016/j.addbeh.2018.11.008</w:t>
        </w:r>
      </w:hyperlink>
      <w:r>
        <w:t xml:space="preserve">.</w:t>
      </w:r>
    </w:p>
    <w:bookmarkEnd w:id="140"/>
    <w:bookmarkStart w:id="142"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41">
        <w:r>
          <w:rPr>
            <w:rStyle w:val="Hyperlink"/>
          </w:rPr>
          <w:t xml:space="preserve">https://doi.org/10.1016/j.addbeh.2017.11.039</w:t>
        </w:r>
      </w:hyperlink>
      <w:r>
        <w:t xml:space="preserve">.</w:t>
      </w:r>
    </w:p>
    <w:bookmarkEnd w:id="142"/>
    <w:bookmarkStart w:id="144"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43">
        <w:r>
          <w:rPr>
            <w:rStyle w:val="Hyperlink"/>
          </w:rPr>
          <w:t xml:space="preserve">https://doi.org/10.2196/31877</w:t>
        </w:r>
      </w:hyperlink>
      <w:r>
        <w:t xml:space="preserve">.</w:t>
      </w:r>
    </w:p>
    <w:bookmarkEnd w:id="144"/>
    <w:bookmarkStart w:id="146"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45">
        <w:r>
          <w:rPr>
            <w:rStyle w:val="Hyperlink"/>
          </w:rPr>
          <w:t xml:space="preserve">https://doi.org/10.1016/0306-4603(89)90060-9</w:t>
        </w:r>
      </w:hyperlink>
      <w:r>
        <w:t xml:space="preserve">.</w:t>
      </w:r>
    </w:p>
    <w:bookmarkEnd w:id="146"/>
    <w:bookmarkStart w:id="148"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47">
        <w:r>
          <w:rPr>
            <w:rStyle w:val="Hyperlink"/>
          </w:rPr>
          <w:t xml:space="preserve">https://doi.org/10.3389/fpsyt.2019.00344</w:t>
        </w:r>
      </w:hyperlink>
      <w:r>
        <w:t xml:space="preserve">.</w:t>
      </w:r>
    </w:p>
    <w:bookmarkEnd w:id="148"/>
    <w:bookmarkStart w:id="150"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49">
        <w:r>
          <w:rPr>
            <w:rStyle w:val="Hyperlink"/>
          </w:rPr>
          <w:t xml:space="preserve">https://doi.org/10.1007/s40429-018-0192-0</w:t>
        </w:r>
      </w:hyperlink>
      <w:r>
        <w:t xml:space="preserve">.</w:t>
      </w:r>
    </w:p>
    <w:bookmarkEnd w:id="150"/>
    <w:bookmarkStart w:id="152"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51">
        <w:r>
          <w:rPr>
            <w:rStyle w:val="Hyperlink"/>
          </w:rPr>
          <w:t xml:space="preserve">https://doi.org/10.1016/j.jsat.2013.08.004</w:t>
        </w:r>
      </w:hyperlink>
      <w:r>
        <w:t xml:space="preserve">.</w:t>
      </w:r>
    </w:p>
    <w:bookmarkEnd w:id="152"/>
    <w:bookmarkStart w:id="154"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53">
        <w:r>
          <w:rPr>
            <w:rStyle w:val="Hyperlink"/>
          </w:rPr>
          <w:t xml:space="preserve">https://doi.org/10.1016/j.cpr.2005.11.004</w:t>
        </w:r>
      </w:hyperlink>
      <w:r>
        <w:t xml:space="preserve">.</w:t>
      </w:r>
    </w:p>
    <w:bookmarkEnd w:id="154"/>
    <w:bookmarkStart w:id="156"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55">
        <w:r>
          <w:rPr>
            <w:rStyle w:val="Hyperlink"/>
          </w:rPr>
          <w:t xml:space="preserve">https://doi.org/10.1016/j.psychres.2018.06.031</w:t>
        </w:r>
      </w:hyperlink>
      <w:r>
        <w:t xml:space="preserve">.</w:t>
      </w:r>
    </w:p>
    <w:bookmarkEnd w:id="156"/>
    <w:bookmarkStart w:id="158"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57">
        <w:r>
          <w:rPr>
            <w:rStyle w:val="Hyperlink"/>
          </w:rPr>
          <w:t xml:space="preserve">https://doi.org/10.1080/01612840.2016.1257076</w:t>
        </w:r>
      </w:hyperlink>
      <w:r>
        <w:t xml:space="preserve">.</w:t>
      </w:r>
    </w:p>
    <w:bookmarkEnd w:id="158"/>
    <w:bookmarkStart w:id="160"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59">
        <w:r>
          <w:rPr>
            <w:rStyle w:val="Hyperlink"/>
          </w:rPr>
          <w:t xml:space="preserve">https://doi.org/10.1016/j.comppsych.2015.05.010</w:t>
        </w:r>
      </w:hyperlink>
      <w:r>
        <w:t xml:space="preserve">.</w:t>
      </w:r>
    </w:p>
    <w:bookmarkEnd w:id="160"/>
    <w:bookmarkStart w:id="162"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61">
        <w:r>
          <w:rPr>
            <w:rStyle w:val="Hyperlink"/>
          </w:rPr>
          <w:t xml:space="preserve">https://doi.org/10.1186/s13690-023-01085-4</w:t>
        </w:r>
      </w:hyperlink>
      <w:r>
        <w:t xml:space="preserve">.</w:t>
      </w:r>
    </w:p>
    <w:bookmarkEnd w:id="162"/>
    <w:bookmarkStart w:id="164"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63">
        <w:r>
          <w:rPr>
            <w:rStyle w:val="Hyperlink"/>
          </w:rPr>
          <w:t xml:space="preserve">https://doi.org/10.1111/acer.13965</w:t>
        </w:r>
      </w:hyperlink>
      <w:r>
        <w:t xml:space="preserve">.</w:t>
      </w:r>
    </w:p>
    <w:bookmarkEnd w:id="164"/>
    <w:bookmarkStart w:id="166"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65">
        <w:r>
          <w:rPr>
            <w:rStyle w:val="Hyperlink"/>
          </w:rPr>
          <w:t xml:space="preserve">https://doi.org/10.1097/ADM.0000000000000918</w:t>
        </w:r>
      </w:hyperlink>
      <w:r>
        <w:t xml:space="preserve">.</w:t>
      </w:r>
    </w:p>
    <w:bookmarkEnd w:id="166"/>
    <w:bookmarkStart w:id="168"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67">
        <w:r>
          <w:rPr>
            <w:rStyle w:val="Hyperlink"/>
          </w:rPr>
          <w:t xml:space="preserve">https://doi.org/10.1001/jamapsychiatry.2013.4642</w:t>
        </w:r>
      </w:hyperlink>
      <w:r>
        <w:t xml:space="preserve">.</w:t>
      </w:r>
    </w:p>
    <w:bookmarkEnd w:id="168"/>
    <w:bookmarkStart w:id="170"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69">
        <w:r>
          <w:rPr>
            <w:rStyle w:val="Hyperlink"/>
          </w:rPr>
          <w:t xml:space="preserve">https://doi.org/10.1016/s0741-8329(98)00065-2</w:t>
        </w:r>
      </w:hyperlink>
      <w:r>
        <w:t xml:space="preserve">.</w:t>
      </w:r>
    </w:p>
    <w:bookmarkEnd w:id="170"/>
    <w:bookmarkStart w:id="172"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71">
        <w:r>
          <w:rPr>
            <w:rStyle w:val="Hyperlink"/>
          </w:rPr>
          <w:t xml:space="preserve">https://doi.org/10.1016/j.ajp.2016.08.003</w:t>
        </w:r>
      </w:hyperlink>
      <w:r>
        <w:t xml:space="preserve">.</w:t>
      </w:r>
    </w:p>
    <w:bookmarkEnd w:id="172"/>
    <w:bookmarkStart w:id="174"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73">
        <w:r>
          <w:rPr>
            <w:rStyle w:val="Hyperlink"/>
          </w:rPr>
          <w:t xml:space="preserve">https://doi.org/10.1111/j.1475-6773.2006.00612.x</w:t>
        </w:r>
      </w:hyperlink>
      <w:r>
        <w:t xml:space="preserve">.</w:t>
      </w:r>
    </w:p>
    <w:bookmarkEnd w:id="174"/>
    <w:bookmarkStart w:id="176"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75">
        <w:r>
          <w:rPr>
            <w:rStyle w:val="Hyperlink"/>
          </w:rPr>
          <w:t xml:space="preserve">https://doi.org/10.1016/B978-0-323-90045-4.00005-8</w:t>
        </w:r>
      </w:hyperlink>
      <w:r>
        <w:t xml:space="preserve">.</w:t>
      </w:r>
    </w:p>
    <w:bookmarkEnd w:id="176"/>
    <w:bookmarkStart w:id="178"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77">
        <w:r>
          <w:rPr>
            <w:rStyle w:val="Hyperlink"/>
          </w:rPr>
          <w:t xml:space="preserve">https://doi.org/10.1046/j.1360-0443.91.12s1.4.x</w:t>
        </w:r>
      </w:hyperlink>
      <w:r>
        <w:t xml:space="preserve">.</w:t>
      </w:r>
    </w:p>
    <w:bookmarkEnd w:id="178"/>
    <w:bookmarkStart w:id="180"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79">
        <w:r>
          <w:rPr>
            <w:rStyle w:val="Hyperlink"/>
          </w:rPr>
          <w:t xml:space="preserve">https://doi.org/10.1007/s00127-013-0740-9</w:t>
        </w:r>
      </w:hyperlink>
      <w:r>
        <w:t xml:space="preserve">.</w:t>
      </w:r>
    </w:p>
    <w:bookmarkEnd w:id="180"/>
    <w:bookmarkStart w:id="181"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81"/>
    <w:bookmarkStart w:id="183"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82">
        <w:r>
          <w:rPr>
            <w:rStyle w:val="Hyperlink"/>
          </w:rPr>
          <w:t xml:space="preserve">https://doi.org/10.2196/17458</w:t>
        </w:r>
      </w:hyperlink>
      <w:r>
        <w:t xml:space="preserve">.</w:t>
      </w:r>
    </w:p>
    <w:bookmarkEnd w:id="183"/>
    <w:bookmarkStart w:id="185"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84">
        <w:r>
          <w:rPr>
            <w:rStyle w:val="Hyperlink"/>
          </w:rPr>
          <w:t xml:space="preserve">https://doi.org/10.1109/JAS.2023.123015</w:t>
        </w:r>
      </w:hyperlink>
      <w:r>
        <w:t xml:space="preserve">.</w:t>
      </w:r>
    </w:p>
    <w:bookmarkEnd w:id="185"/>
    <w:bookmarkStart w:id="187"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86">
        <w:r>
          <w:rPr>
            <w:rStyle w:val="Hyperlink"/>
          </w:rPr>
          <w:t xml:space="preserve">https://doi.org/10.1046/j.1360-0443.91.12s1.16.x</w:t>
        </w:r>
      </w:hyperlink>
      <w:r>
        <w:t xml:space="preserve">.</w:t>
      </w:r>
    </w:p>
    <w:bookmarkEnd w:id="187"/>
    <w:bookmarkStart w:id="18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88"/>
    <w:bookmarkStart w:id="190"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89">
        <w:r>
          <w:rPr>
            <w:rStyle w:val="Hyperlink"/>
          </w:rPr>
          <w:t xml:space="preserve">https://doi.org/10.1016/j.drugalcdep.2018.03.016</w:t>
        </w:r>
      </w:hyperlink>
      <w:r>
        <w:t xml:space="preserve">.</w:t>
      </w:r>
    </w:p>
    <w:bookmarkEnd w:id="190"/>
    <w:bookmarkStart w:id="192"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91">
        <w:r>
          <w:rPr>
            <w:rStyle w:val="Hyperlink"/>
          </w:rPr>
          <w:t xml:space="preserve">https://doi.org/10.1046/j.1360-0443.91.12s1.15.x</w:t>
        </w:r>
      </w:hyperlink>
      <w:r>
        <w:t xml:space="preserve">.</w:t>
      </w:r>
    </w:p>
    <w:bookmarkEnd w:id="192"/>
    <w:bookmarkStart w:id="193"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93"/>
    <w:bookmarkStart w:id="195"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94">
        <w:r>
          <w:rPr>
            <w:rStyle w:val="Hyperlink"/>
          </w:rPr>
          <w:t xml:space="preserve">https://doi.org/10.4303/jdar/236083</w:t>
        </w:r>
      </w:hyperlink>
      <w:r>
        <w:t xml:space="preserve">.</w:t>
      </w:r>
    </w:p>
    <w:bookmarkEnd w:id="195"/>
    <w:bookmarkStart w:id="197"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96">
        <w:r>
          <w:rPr>
            <w:rStyle w:val="Hyperlink"/>
          </w:rPr>
          <w:t xml:space="preserve">https://doi.org/10.15288/jsa.1999.60.566</w:t>
        </w:r>
      </w:hyperlink>
      <w:r>
        <w:t xml:space="preserve">.</w:t>
      </w:r>
    </w:p>
    <w:bookmarkEnd w:id="197"/>
    <w:bookmarkStart w:id="199"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98">
        <w:r>
          <w:rPr>
            <w:rStyle w:val="Hyperlink"/>
          </w:rPr>
          <w:t xml:space="preserve">https://doi.org/10.1016/j.cpr.2005.11.002</w:t>
        </w:r>
      </w:hyperlink>
      <w:r>
        <w:t xml:space="preserve">.</w:t>
      </w:r>
    </w:p>
    <w:bookmarkEnd w:id="199"/>
    <w:bookmarkStart w:id="201"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200">
        <w:r>
          <w:rPr>
            <w:rStyle w:val="Hyperlink"/>
          </w:rPr>
          <w:t xml:space="preserve">https://doi.org/10.1111/add.15771</w:t>
        </w:r>
      </w:hyperlink>
      <w:r>
        <w:t xml:space="preserve">.</w:t>
      </w:r>
    </w:p>
    <w:bookmarkEnd w:id="201"/>
    <w:bookmarkStart w:id="203"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202">
        <w:r>
          <w:rPr>
            <w:rStyle w:val="Hyperlink"/>
          </w:rPr>
          <w:t xml:space="preserve">https://doi.org/10.1046/j.1360-0443.91.12s1.6.x</w:t>
        </w:r>
      </w:hyperlink>
      <w:r>
        <w:t xml:space="preserve">.</w:t>
      </w:r>
    </w:p>
    <w:bookmarkEnd w:id="203"/>
    <w:bookmarkStart w:id="205"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204">
        <w:r>
          <w:rPr>
            <w:rStyle w:val="Hyperlink"/>
          </w:rPr>
          <w:t xml:space="preserve">https://doi.org/10.1186/s13722-023-00387-w</w:t>
        </w:r>
      </w:hyperlink>
      <w:r>
        <w:t xml:space="preserve">.</w:t>
      </w:r>
    </w:p>
    <w:bookmarkEnd w:id="205"/>
    <w:bookmarkStart w:id="206"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206"/>
    <w:bookmarkStart w:id="207"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207"/>
    <w:bookmarkStart w:id="208"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208"/>
    <w:bookmarkStart w:id="210"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209">
        <w:r>
          <w:rPr>
            <w:rStyle w:val="Hyperlink"/>
          </w:rPr>
          <w:t xml:space="preserve">https://doi.org/10.1093/tbm/ibab048</w:t>
        </w:r>
      </w:hyperlink>
      <w:r>
        <w:t xml:space="preserve">.</w:t>
      </w:r>
    </w:p>
    <w:bookmarkEnd w:id="210"/>
    <w:bookmarkStart w:id="212"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211">
        <w:r>
          <w:rPr>
            <w:rStyle w:val="Hyperlink"/>
          </w:rPr>
          <w:t xml:space="preserve">https://doi.org/10.2196/35159</w:t>
        </w:r>
      </w:hyperlink>
      <w:r>
        <w:t xml:space="preserve">.</w:t>
      </w:r>
    </w:p>
    <w:bookmarkEnd w:id="212"/>
    <w:bookmarkStart w:id="214"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213">
        <w:r>
          <w:rPr>
            <w:rStyle w:val="Hyperlink"/>
          </w:rPr>
          <w:t xml:space="preserve">https://doi.org/10.1016/j.jad.2020.05.067</w:t>
        </w:r>
      </w:hyperlink>
      <w:r>
        <w:t xml:space="preserve">.</w:t>
      </w:r>
    </w:p>
    <w:bookmarkEnd w:id="214"/>
    <w:bookmarkStart w:id="216"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15">
        <w:r>
          <w:rPr>
            <w:rStyle w:val="Hyperlink"/>
          </w:rPr>
          <w:t xml:space="preserve">https://doi.org/10.1186/s13011-015-0028-z</w:t>
        </w:r>
      </w:hyperlink>
      <w:r>
        <w:t xml:space="preserve">.</w:t>
      </w:r>
    </w:p>
    <w:bookmarkEnd w:id="216"/>
    <w:bookmarkStart w:id="218"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17">
        <w:r>
          <w:rPr>
            <w:rStyle w:val="Hyperlink"/>
          </w:rPr>
          <w:t xml:space="preserve">https://doi.org/10.1016/j.amepre.2015.05.031</w:t>
        </w:r>
      </w:hyperlink>
      <w:r>
        <w:t xml:space="preserve">.</w:t>
      </w:r>
    </w:p>
    <w:bookmarkEnd w:id="218"/>
    <w:bookmarkStart w:id="220"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19">
        <w:r>
          <w:rPr>
            <w:rStyle w:val="Hyperlink"/>
          </w:rPr>
          <w:t xml:space="preserve">https://doi.org/10.1176/appi.ps.201400160</w:t>
        </w:r>
      </w:hyperlink>
      <w:r>
        <w:t xml:space="preserve">.</w:t>
      </w:r>
    </w:p>
    <w:bookmarkEnd w:id="220"/>
    <w:bookmarkStart w:id="222"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21">
        <w:r>
          <w:rPr>
            <w:rStyle w:val="Hyperlink"/>
          </w:rPr>
          <w:t xml:space="preserve">https://doi.org/10.1016/j.jsat.2004.09.006</w:t>
        </w:r>
      </w:hyperlink>
      <w:r>
        <w:t xml:space="preserve">.</w:t>
      </w:r>
    </w:p>
    <w:bookmarkEnd w:id="222"/>
    <w:bookmarkStart w:id="224"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23">
        <w:r>
          <w:rPr>
            <w:rStyle w:val="Hyperlink"/>
          </w:rPr>
          <w:t xml:space="preserve">https://doi.org/10.1097/CLD.0000000000000026</w:t>
        </w:r>
      </w:hyperlink>
      <w:r>
        <w:t xml:space="preserve">.</w:t>
      </w:r>
    </w:p>
    <w:bookmarkEnd w:id="224"/>
    <w:bookmarkStart w:id="226"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25">
        <w:r>
          <w:rPr>
            <w:rStyle w:val="Hyperlink"/>
          </w:rPr>
          <w:t xml:space="preserve">https://doi.org/10.1046/j.1360-0443.91.12s1.20.x</w:t>
        </w:r>
      </w:hyperlink>
      <w:r>
        <w:t xml:space="preserve">.</w:t>
      </w:r>
    </w:p>
    <w:bookmarkEnd w:id="226"/>
    <w:bookmarkStart w:id="228"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27">
        <w:r>
          <w:rPr>
            <w:rStyle w:val="Hyperlink"/>
          </w:rPr>
          <w:t xml:space="preserve">https://doi.org/10.1177/0261927X09351676</w:t>
        </w:r>
      </w:hyperlink>
      <w:r>
        <w:t xml:space="preserve">.</w:t>
      </w:r>
    </w:p>
    <w:bookmarkEnd w:id="228"/>
    <w:bookmarkStart w:id="230"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29">
        <w:r>
          <w:rPr>
            <w:rStyle w:val="Hyperlink"/>
          </w:rPr>
          <w:t xml:space="preserve">https://doi.org/10.1016/j.alcohol.2019.09.008</w:t>
        </w:r>
      </w:hyperlink>
      <w:r>
        <w:t xml:space="preserve">.</w:t>
      </w:r>
    </w:p>
    <w:bookmarkEnd w:id="230"/>
    <w:bookmarkStart w:id="232"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31">
        <w:r>
          <w:rPr>
            <w:rStyle w:val="Hyperlink"/>
          </w:rPr>
          <w:t xml:space="preserve">https://doi.org/10.3233/SHTI190386</w:t>
        </w:r>
      </w:hyperlink>
      <w:r>
        <w:t xml:space="preserve">.</w:t>
      </w:r>
    </w:p>
    <w:bookmarkEnd w:id="232"/>
    <w:bookmarkStart w:id="234"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33">
        <w:r>
          <w:rPr>
            <w:rStyle w:val="Hyperlink"/>
          </w:rPr>
          <w:t xml:space="preserve">https://doi.org/10.3390/jcm9020322</w:t>
        </w:r>
      </w:hyperlink>
      <w:r>
        <w:t xml:space="preserve">.</w:t>
      </w:r>
    </w:p>
    <w:bookmarkEnd w:id="234"/>
    <w:bookmarkStart w:id="236"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35">
        <w:r>
          <w:rPr>
            <w:rStyle w:val="Hyperlink"/>
          </w:rPr>
          <w:t xml:space="preserve">https://doi.org/10.1016/j.jsat.2016.12.013</w:t>
        </w:r>
      </w:hyperlink>
      <w:r>
        <w:t xml:space="preserve">.</w:t>
      </w:r>
    </w:p>
    <w:bookmarkEnd w:id="236"/>
    <w:bookmarkStart w:id="238"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37">
        <w:r>
          <w:rPr>
            <w:rStyle w:val="Hyperlink"/>
          </w:rPr>
          <w:t xml:space="preserve">https://doi.org/10.1111/acer.15222</w:t>
        </w:r>
      </w:hyperlink>
      <w:r>
        <w:t xml:space="preserve">.</w:t>
      </w:r>
    </w:p>
    <w:bookmarkEnd w:id="238"/>
    <w:bookmarkStart w:id="240"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39">
        <w:r>
          <w:rPr>
            <w:rStyle w:val="Hyperlink"/>
          </w:rPr>
          <w:t xml:space="preserve">https://doi.org/10.3109/10826084.2014.891616</w:t>
        </w:r>
      </w:hyperlink>
      <w:r>
        <w:t xml:space="preserve">.</w:t>
      </w:r>
    </w:p>
    <w:bookmarkEnd w:id="240"/>
    <w:bookmarkStart w:id="242"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41">
        <w:r>
          <w:rPr>
            <w:rStyle w:val="Hyperlink"/>
          </w:rPr>
          <w:t xml:space="preserve">https://doi.org/10.1007/s11606-017-4202-z</w:t>
        </w:r>
      </w:hyperlink>
      <w:r>
        <w:t xml:space="preserve">.</w:t>
      </w:r>
    </w:p>
    <w:bookmarkEnd w:id="242"/>
    <w:bookmarkStart w:id="244"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43">
        <w:r>
          <w:rPr>
            <w:rStyle w:val="Hyperlink"/>
          </w:rPr>
          <w:t xml:space="preserve">https://doi.org/10.1037/0003-066X.59.4.224</w:t>
        </w:r>
      </w:hyperlink>
      <w:r>
        <w:t xml:space="preserve">.</w:t>
      </w:r>
    </w:p>
    <w:bookmarkEnd w:id="244"/>
    <w:bookmarkStart w:id="246"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45">
        <w:r>
          <w:rPr>
            <w:rStyle w:val="Hyperlink"/>
          </w:rPr>
          <w:t xml:space="preserve">https://doi.org/10.1016/j.cpr.2007.01.002</w:t>
        </w:r>
      </w:hyperlink>
      <w:r>
        <w:t xml:space="preserve">.</w:t>
      </w:r>
    </w:p>
    <w:bookmarkEnd w:id="246"/>
    <w:bookmarkStart w:id="248"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47">
        <w:r>
          <w:rPr>
            <w:rStyle w:val="Hyperlink"/>
          </w:rPr>
          <w:t xml:space="preserve">https://doi.org/10.2196/41833</w:t>
        </w:r>
      </w:hyperlink>
      <w:r>
        <w:t xml:space="preserve">.</w:t>
      </w:r>
    </w:p>
    <w:bookmarkEnd w:id="248"/>
    <w:bookmarkStart w:id="250"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49">
        <w:r>
          <w:rPr>
            <w:rStyle w:val="Hyperlink"/>
          </w:rPr>
          <w:t xml:space="preserve">https://doi.org/10.1037/abn0000901</w:t>
        </w:r>
      </w:hyperlink>
      <w:r>
        <w:t xml:space="preserve">.</w:t>
      </w:r>
    </w:p>
    <w:bookmarkEnd w:id="250"/>
    <w:bookmarkStart w:id="252"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51">
        <w:r>
          <w:rPr>
            <w:rStyle w:val="Hyperlink"/>
          </w:rPr>
          <w:t xml:space="preserve">https://doi.org/10.1111/jrh.12293</w:t>
        </w:r>
      </w:hyperlink>
      <w:r>
        <w:t xml:space="preserve">.</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97" Target="media/rId97.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2024-10-21T05:58:15Z</dcterms:created>
  <dcterms:modified xsi:type="dcterms:W3CDTF">2024-10-21T05:58:15Z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2024-10-21</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