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2026-01-23</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for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identified via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3"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[14]</w:t>
      </w:r>
      <w:r>
        <w:t xml:space="preserve"> </w:t>
      </w:r>
      <w:r>
        <w:t xml:space="preserve">in the supplement. Second, our features, labels, questionnaires, and other study materials are publicly available on our Open Science Framework (OSF) page (</w:t>
      </w:r>
      <w:hyperlink r:id="rId22">
        <w:r>
          <w:rPr>
            <w:rStyle w:val="Hyperlink"/>
          </w:rPr>
          <w:t xml:space="preserve">https://osf.io/wgpz9/</w:t>
        </w:r>
      </w:hyperlink>
      <w:r>
        <w:t xml:space="preserve">). Finally, the annotated analysis scripts are publicly available on our study website (</w:t>
      </w:r>
      <w:hyperlink r:id="rId23">
        <w:r>
          <w:rPr>
            <w:rStyle w:val="Hyperlink"/>
          </w:rPr>
          <w:t xml:space="preserve">https://jjcurtin.github.io/study_messages/</w:t>
        </w:r>
      </w:hyperlink>
      <w:r>
        <w:t xml:space="preserve">).</w:t>
      </w:r>
    </w:p>
    <w:bookmarkEnd w:id="24"/>
    <w:bookmarkStart w:id="25"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[16]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t xml:space="preserve"> </w:t>
      </w:r>
      <w:r>
        <w:t xml:space="preserve">[17]</w:t>
      </w:r>
      <w:r>
        <w:t xml:space="preserve">, and presence of psychological symptoms</w:t>
      </w:r>
      <w:r>
        <w:t xml:space="preserve"> </w:t>
      </w:r>
      <w:r>
        <w:t xml:space="preserve">[16]</w:t>
      </w:r>
      <w:r>
        <w:t xml:space="preserve">). At the intake visit, approximately two weeks after screening, we collected additional self-report data on abstinence self-efficacy</w:t>
      </w:r>
      <w:r>
        <w:t xml:space="preserve"> </w:t>
      </w:r>
      <w:r>
        <w:t xml:space="preserve">[18]</w:t>
      </w:r>
      <w:r>
        <w:t xml:space="preserve">, craving</w:t>
      </w:r>
      <w:r>
        <w:t xml:space="preserve"> </w:t>
      </w:r>
      <w:r>
        <w:t xml:space="preserve">[19]</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22">
        <w:r>
          <w:rPr>
            <w:rStyle w:val="Hyperlink"/>
          </w:rPr>
          <w:t xml:space="preserve">https://osf.io/wgpz9/</w:t>
        </w:r>
      </w:hyperlink>
      <w:r>
        <w:t xml:space="preserve">).</w:t>
      </w:r>
    </w:p>
    <w:bookmarkEnd w:id="25"/>
    <w:bookmarkStart w:id="2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26"/>
    <w:bookmarkStart w:id="32" w:name="data-analysis-plan"/>
    <w:p>
      <w:pPr>
        <w:pStyle w:val="Heading2"/>
      </w:pPr>
      <w:r>
        <w:t xml:space="preserve">Data Analysis Plan</w:t>
      </w:r>
    </w:p>
    <w:bookmarkStart w:id="27"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7"/>
    <w:bookmarkStart w:id="30"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Feature Scoring Epochs, Total Number of Features, and Indication of Inclusion in Full and Baseline Models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31"/>
    <w:bookmarkEnd w:id="32"/>
    <w:bookmarkEnd w:id="33"/>
    <w:bookmarkStart w:id="44" w:name="results"/>
    <w:p>
      <w:pPr>
        <w:pStyle w:val="Heading1"/>
      </w:pPr>
      <w:r>
        <w:t xml:space="preserve">Results</w:t>
      </w:r>
    </w:p>
    <w:bookmarkStart w:id="36" w:name="participants"/>
    <w:p>
      <w:pPr>
        <w:pStyle w:val="Heading2"/>
      </w:pPr>
      <w:r>
        <w:t xml:space="preserve">Participants</w:t>
      </w:r>
    </w:p>
    <w:p>
      <w:pPr>
        <w:pStyle w:val="FirstParagraph"/>
      </w:pPr>
      <w:r>
        <w:t xml:space="preserve">We screened 192 participants. Of these, 169 enrolled during the intake visit and 154 completed the first follow-up visit. We excluded data from one participant due to drinking multiple times a day every day on study, suggesting they did not have a goal of abstinence. We excluded data from one participant due to evidence of careless responding. We excluded data from one participant due to poor compliance with EMA resulting in questionable lapse labels.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7"/>
    <w:bookmarkStart w:id="43"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achieved comparative performance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1" w:name="fig-1"/>
          <w:p>
            <w:pPr>
              <w:pStyle w:val="Compact"/>
              <w:jc w:val="center"/>
            </w:pPr>
            <w:r>
              <w:drawing>
                <wp:inline>
                  <wp:extent cx="5334000" cy="3810000"/>
                  <wp:effectExtent b="0" l="0" r="0" t="0"/>
                  <wp:docPr descr="" title="" id="39" name="Picture"/>
                  <a:graphic>
                    <a:graphicData uri="http://schemas.openxmlformats.org/drawingml/2006/picture">
                      <pic:pic>
                        <pic:nvPicPr>
                          <pic:cNvPr descr="index_files/figure-docx/notebooks-mak_figures-fig-1-output-1.png" id="40" name="Picture"/>
                          <pic:cNvPicPr>
                            <a:picLocks noChangeArrowheads="1" noChangeAspect="1"/>
                          </pic:cNvPicPr>
                        </pic:nvPicPr>
                        <pic:blipFill>
                          <a:blip r:embed="rId3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Bars with positive coefficient values represent features that, on average, lower lapse risk. Bars with negative coefficient values represent features that, on average, increase risk. Baseline features were collected via self-report measures at the screening and intake visits. Communication features were engineered from the contextualized cellular communications.</w:t>
            </w:r>
          </w:p>
          <w:bookmarkEnd w:id="41"/>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Figures for Main Manuscript</w:t>
        </w:r>
      </w:hyperlink>
    </w:p>
    <w:bookmarkEnd w:id="43"/>
    <w:bookmarkEnd w:id="44"/>
    <w:bookmarkStart w:id="4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[20]</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[21]</w:t>
      </w:r>
      <w:r>
        <w:t xml:space="preserve"> </w:t>
      </w:r>
      <w:r>
        <w:t xml:space="preserve">and predict future</w:t>
      </w:r>
      <w:r>
        <w:t xml:space="preserve"> </w:t>
      </w:r>
      <w:r>
        <w:t xml:space="preserve">[22]</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5"/>
    <w:bookmarkStart w:id="46" w:name="acknowledgments"/>
    <w:p>
      <w:pPr>
        <w:pStyle w:val="Heading1"/>
      </w:pPr>
      <w:r>
        <w:t xml:space="preserve">Acknowledgments</w:t>
      </w:r>
    </w:p>
    <w:p>
      <w:pPr>
        <w:pStyle w:val="FirstParagraph"/>
      </w:pPr>
      <w:r>
        <w:t xml:space="preserve">The authors wish to thank Susan E. Wanta for her role as the project administrator.</w:t>
      </w:r>
    </w:p>
    <w:bookmarkEnd w:id="46"/>
    <w:bookmarkStart w:id="4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7"/>
    <w:bookmarkStart w:id="48"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48"/>
    <w:bookmarkStart w:id="49"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49"/>
    <w:bookmarkStart w:id="50"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22">
        <w:r>
          <w:rPr>
            <w:rStyle w:val="Hyperlink"/>
          </w:rPr>
          <w:t xml:space="preserve">https://osf.io/wgpz9/</w:t>
        </w:r>
      </w:hyperlink>
      <w:r>
        <w:t xml:space="preserve">).</w:t>
      </w:r>
    </w:p>
    <w:p>
      <w:r>
        <w:br w:type="page"/>
      </w:r>
    </w:p>
    <w:bookmarkEnd w:id="50"/>
    <w:bookmarkStart w:id="89" w:name="references"/>
    <w:p>
      <w:pPr>
        <w:pStyle w:val="Heading1"/>
      </w:pPr>
      <w:r>
        <w:t xml:space="preserve">References</w:t>
      </w:r>
    </w:p>
    <w:bookmarkStart w:id="88" w:name="refs"/>
    <w:bookmarkStart w:id="52"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51">
        <w:r>
          <w:rPr>
            <w:rStyle w:val="Hyperlink"/>
          </w:rPr>
          <w:t xml:space="preserve">10.1001/jama.284.13.1689</w:t>
        </w:r>
      </w:hyperlink>
    </w:p>
    <w:bookmarkEnd w:id="52"/>
    <w:bookmarkStart w:id="54" w:name="ref-dennisManagingAddictionChronic2007"/>
    <w:p>
      <w:pPr>
        <w:pStyle w:val="Bibliography"/>
      </w:pPr>
      <w:r>
        <w:t xml:space="preserve">2.</w:t>
      </w:r>
      <w:r>
        <w:t xml:space="preserve"> </w:t>
      </w:r>
      <w:r>
        <w:t xml:space="preserve">	</w:t>
      </w:r>
      <w:r>
        <w:t xml:space="preserve">Dennis M, Scott CK.</w:t>
      </w:r>
      <w:r>
        <w:t xml:space="preserve"> </w:t>
      </w:r>
      <w:hyperlink r:id="rId5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54"/>
    <w:bookmarkStart w:id="55"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55"/>
    <w:bookmarkStart w:id="56"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56"/>
    <w:bookmarkStart w:id="57"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57"/>
    <w:bookmarkStart w:id="59"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58">
        <w:r>
          <w:rPr>
            <w:rStyle w:val="Hyperlink"/>
          </w:rPr>
          <w:t xml:space="preserve">10.1093/med-psych/9780190926717.003.0018</w:t>
        </w:r>
      </w:hyperlink>
    </w:p>
    <w:bookmarkEnd w:id="59"/>
    <w:bookmarkStart w:id="61"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60">
        <w:r>
          <w:rPr>
            <w:rStyle w:val="Hyperlink"/>
          </w:rPr>
          <w:t xml:space="preserve">10.1007/978-3-030-56958-7_6</w:t>
        </w:r>
      </w:hyperlink>
    </w:p>
    <w:bookmarkEnd w:id="61"/>
    <w:bookmarkStart w:id="63"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62">
        <w:r>
          <w:rPr>
            <w:rStyle w:val="Hyperlink"/>
          </w:rPr>
          <w:t xml:space="preserve">10.1146/annurev-clinpsy-032816-044949</w:t>
        </w:r>
      </w:hyperlink>
    </w:p>
    <w:bookmarkEnd w:id="63"/>
    <w:bookmarkStart w:id="65"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64">
        <w:r>
          <w:rPr>
            <w:rStyle w:val="Hyperlink"/>
          </w:rPr>
          <w:t xml:space="preserve">10.1016/j.jsat.2013.08.004</w:t>
        </w:r>
      </w:hyperlink>
    </w:p>
    <w:bookmarkEnd w:id="65"/>
    <w:bookmarkStart w:id="67"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66">
        <w:r>
          <w:rPr>
            <w:rStyle w:val="Hyperlink"/>
          </w:rPr>
          <w:t xml:space="preserve">10.1037/abn0000901</w:t>
        </w:r>
      </w:hyperlink>
    </w:p>
    <w:bookmarkEnd w:id="67"/>
    <w:bookmarkStart w:id="68"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68"/>
    <w:bookmarkStart w:id="70"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69">
        <w:r>
          <w:rPr>
            <w:rStyle w:val="Hyperlink"/>
          </w:rPr>
          <w:t xml:space="preserve">10/gfsjzg</w:t>
        </w:r>
      </w:hyperlink>
    </w:p>
    <w:bookmarkEnd w:id="70"/>
    <w:bookmarkStart w:id="72"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71">
        <w:r>
          <w:rPr>
            <w:rStyle w:val="Hyperlink"/>
          </w:rPr>
          <w:t xml:space="preserve">10.2196/41833</w:t>
        </w:r>
      </w:hyperlink>
    </w:p>
    <w:bookmarkEnd w:id="72"/>
    <w:bookmarkStart w:id="74" w:name="X126aebe61d5329fdf5f31356b05d81ee3379203"/>
    <w:p>
      <w:pPr>
        <w:pStyle w:val="Bibliography"/>
      </w:pPr>
      <w:r>
        <w:t xml:space="preserve">14.</w:t>
      </w:r>
      <w:r>
        <w:t xml:space="preserve"> </w:t>
      </w:r>
      <w:r>
        <w:t xml:space="preserve">	</w:t>
      </w:r>
      <w:r>
        <w:t xml:space="preserve">Aczel B, Szaszi B, Sarafoglou A, Kekecs Z, Kucharský Š, Benjamin D, et al. A consensus-based transparency checklist. Nature Human Behaviour. 2019; 1–3. doi:</w:t>
      </w:r>
      <w:hyperlink r:id="rId73">
        <w:r>
          <w:rPr>
            <w:rStyle w:val="Hyperlink"/>
          </w:rPr>
          <w:t xml:space="preserve">10.1038/s41562-019-0772-6</w:t>
        </w:r>
      </w:hyperlink>
    </w:p>
    <w:bookmarkEnd w:id="74"/>
    <w:bookmarkStart w:id="75" w:name="ref-hsiehSampleSizeTables1989"/>
    <w:p>
      <w:pPr>
        <w:pStyle w:val="Bibliography"/>
      </w:pPr>
      <w:r>
        <w:t xml:space="preserve">15.</w:t>
      </w:r>
      <w:r>
        <w:t xml:space="preserve"> </w:t>
      </w:r>
      <w:r>
        <w:t xml:space="preserve">	</w:t>
      </w:r>
      <w:r>
        <w:t xml:space="preserve">Hsieh F. Sample size tables for logistic regression. Statistics in Medicine. 1989;8: 795–802.</w:t>
      </w:r>
      <w:r>
        <w:t xml:space="preserve"> </w:t>
      </w:r>
    </w:p>
    <w:bookmarkEnd w:id="75"/>
    <w:bookmarkStart w:id="76" w:name="ref-derogatislBriefSymptomInventory"/>
    <w:p>
      <w:pPr>
        <w:pStyle w:val="Bibliography"/>
      </w:pPr>
      <w:r>
        <w:t xml:space="preserve">16.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76"/>
    <w:bookmarkStart w:id="77" w:name="ref-hurlbutAssessingAlcoholProblems1992"/>
    <w:p>
      <w:pPr>
        <w:pStyle w:val="Bibliography"/>
      </w:pPr>
      <w:r>
        <w:t xml:space="preserve">17.</w:t>
      </w:r>
      <w:r>
        <w:t xml:space="preserve"> </w:t>
      </w:r>
      <w:r>
        <w:t xml:space="preserve">	</w:t>
      </w:r>
      <w:r>
        <w:t xml:space="preserve">Hurlbut SC, Sher KJ. Assessing alcohol problems in college students. Journal of American College Health. 1992;41: 49–58.</w:t>
      </w:r>
      <w:r>
        <w:t xml:space="preserve"> </w:t>
      </w:r>
    </w:p>
    <w:bookmarkEnd w:id="77"/>
    <w:bookmarkStart w:id="79" w:name="Xcae8ce16b0973d3f8a23c89fe6ee90c012f333c"/>
    <w:p>
      <w:pPr>
        <w:pStyle w:val="Bibliography"/>
      </w:pPr>
      <w:r>
        <w:t xml:space="preserve">18.</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78">
        <w:r>
          <w:rPr>
            <w:rStyle w:val="Hyperlink"/>
          </w:rPr>
          <w:t xml:space="preserve">10.1080/1533256X.2011.593445</w:t>
        </w:r>
      </w:hyperlink>
    </w:p>
    <w:bookmarkEnd w:id="79"/>
    <w:bookmarkStart w:id="81" w:name="X72fdb242290119aefa439c46cdcc18630f6c0fa"/>
    <w:p>
      <w:pPr>
        <w:pStyle w:val="Bibliography"/>
      </w:pPr>
      <w:r>
        <w:t xml:space="preserve">19.</w:t>
      </w:r>
      <w:r>
        <w:t xml:space="preserve"> </w:t>
      </w:r>
      <w:r>
        <w:t xml:space="preserve">	</w:t>
      </w:r>
      <w:r>
        <w:t xml:space="preserve">Flannery BA, Volpicelli JR, Pettinati HM.</w:t>
      </w:r>
      <w:r>
        <w:t xml:space="preserve"> </w:t>
      </w:r>
      <w:hyperlink r:id="rId8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81"/>
    <w:bookmarkStart w:id="83" w:name="X948b064f539498125570f43a275c11fe3804a5f"/>
    <w:p>
      <w:pPr>
        <w:pStyle w:val="Bibliography"/>
      </w:pPr>
      <w:r>
        <w:t xml:space="preserve">20.</w:t>
      </w:r>
      <w:r>
        <w:t xml:space="preserve"> </w:t>
      </w:r>
      <w:r>
        <w:t xml:space="preserve">	</w:t>
      </w:r>
      <w:r>
        <w:t xml:space="preserve">McDowell B, Dumais KM, Gary ST, de Gooijer I, Ward T.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82">
        <w:r>
          <w:rPr>
            <w:rStyle w:val="Hyperlink"/>
          </w:rPr>
          <w:t xml:space="preserve">10.2147/PPA.S474535</w:t>
        </w:r>
      </w:hyperlink>
    </w:p>
    <w:bookmarkEnd w:id="83"/>
    <w:bookmarkStart w:id="85" w:name="ref-baeDetectingDrinkingEpisodes2017"/>
    <w:p>
      <w:pPr>
        <w:pStyle w:val="Bibliography"/>
      </w:pPr>
      <w:r>
        <w:t xml:space="preserve">21.</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84">
        <w:r>
          <w:rPr>
            <w:rStyle w:val="Hyperlink"/>
          </w:rPr>
          <w:t xml:space="preserve">10.1145/3090051</w:t>
        </w:r>
      </w:hyperlink>
    </w:p>
    <w:bookmarkEnd w:id="85"/>
    <w:bookmarkStart w:id="87" w:name="ref-baeLeveragingMobilePhone2023"/>
    <w:p>
      <w:pPr>
        <w:pStyle w:val="Bibliography"/>
      </w:pPr>
      <w:r>
        <w:t xml:space="preserve">22.</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86">
        <w:r>
          <w:rPr>
            <w:rStyle w:val="Hyperlink"/>
          </w:rPr>
          <w:t xml:space="preserve">10.2196/39862</w:t>
        </w:r>
      </w:hyperlink>
    </w:p>
    <w:bookmarkEnd w:id="87"/>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51" Target="https://doi.org/10.1001/jama.284.13.1689" TargetMode="External" /><Relationship Type="http://schemas.openxmlformats.org/officeDocument/2006/relationships/hyperlink" Id="rId60" Target="https://doi.org/10.1007/978-3-030-56958-7_6" TargetMode="External" /><Relationship Type="http://schemas.openxmlformats.org/officeDocument/2006/relationships/hyperlink" Id="rId64"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73" Target="https://doi.org/10.1038/s41562-019-0772-6" TargetMode="External" /><Relationship Type="http://schemas.openxmlformats.org/officeDocument/2006/relationships/hyperlink" Id="rId78" Target="https://doi.org/10.1080/1533256X.2011.593445" TargetMode="External" /><Relationship Type="http://schemas.openxmlformats.org/officeDocument/2006/relationships/hyperlink" Id="rId58" Target="https://doi.org/10.1093/med-psych/9780190926717.003.0018" TargetMode="External" /><Relationship Type="http://schemas.openxmlformats.org/officeDocument/2006/relationships/hyperlink" Id="rId84"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82" Target="https://doi.org/10.2147/PPA.S474535" TargetMode="External" /><Relationship Type="http://schemas.openxmlformats.org/officeDocument/2006/relationships/hyperlink" Id="rId86" Target="https://doi.org/10.2196/39862" TargetMode="External" /><Relationship Type="http://schemas.openxmlformats.org/officeDocument/2006/relationships/hyperlink" Id="rId71" Target="https://doi.org/10.2196/41833" TargetMode="External" /><Relationship Type="http://schemas.openxmlformats.org/officeDocument/2006/relationships/hyperlink" Id="rId69"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2"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53" Target="https://www.ncbi.nlm.nih.gov/pmc/articles/PMC2797101" TargetMode="External" /><Relationship Type="http://schemas.openxmlformats.org/officeDocument/2006/relationships/hyperlink" Id="rId80"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1/jama.284.13.1689" TargetMode="External" /><Relationship Type="http://schemas.openxmlformats.org/officeDocument/2006/relationships/hyperlink" Id="rId60" Target="https://doi.org/10.1007/978-3-030-56958-7_6" TargetMode="External" /><Relationship Type="http://schemas.openxmlformats.org/officeDocument/2006/relationships/hyperlink" Id="rId64"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73" Target="https://doi.org/10.1038/s41562-019-0772-6" TargetMode="External" /><Relationship Type="http://schemas.openxmlformats.org/officeDocument/2006/relationships/hyperlink" Id="rId78" Target="https://doi.org/10.1080/1533256X.2011.593445" TargetMode="External" /><Relationship Type="http://schemas.openxmlformats.org/officeDocument/2006/relationships/hyperlink" Id="rId58" Target="https://doi.org/10.1093/med-psych/9780190926717.003.0018" TargetMode="External" /><Relationship Type="http://schemas.openxmlformats.org/officeDocument/2006/relationships/hyperlink" Id="rId84"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82" Target="https://doi.org/10.2147/PPA.S474535" TargetMode="External" /><Relationship Type="http://schemas.openxmlformats.org/officeDocument/2006/relationships/hyperlink" Id="rId86" Target="https://doi.org/10.2196/39862" TargetMode="External" /><Relationship Type="http://schemas.openxmlformats.org/officeDocument/2006/relationships/hyperlink" Id="rId71" Target="https://doi.org/10.2196/41833" TargetMode="External" /><Relationship Type="http://schemas.openxmlformats.org/officeDocument/2006/relationships/hyperlink" Id="rId69"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2"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53" Target="https://www.ncbi.nlm.nih.gov/pmc/articles/PMC2797101" TargetMode="External" /><Relationship Type="http://schemas.openxmlformats.org/officeDocument/2006/relationships/hyperlink" Id="rId80"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2026-01-23T22:36:00Z</dcterms:created>
  <dcterms:modified xsi:type="dcterms:W3CDTF">2026-01-23T22:36:00Z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2026-01-23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