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2026-01-17</w:t>
      </w:r>
    </w:p>
    <w:p>
      <w:pPr>
        <w:pStyle w:val="AbstractTitle"/>
      </w:pPr>
      <w:r>
        <w:t xml:space="preserve">Abstract</w:t>
      </w:r>
    </w:p>
    <w:p>
      <w:pPr>
        <w:pStyle w:val="Abstract"/>
      </w:pPr>
      <w:r>
        <w:t xml:space="preserve">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w:t>
      </w:r>
      <w:r>
        <w:t xml:space="preserve"> </w:t>
      </w:r>
      <w:r>
        <w:t xml:space="preserve">Objective: We evaluated a machine learning model predicting next-day alcohol lapse among individuals in early recovery from AUD using contextualized cellular communication data and baseline demographic and AUD characteristics.</w:t>
      </w:r>
      <w:r>
        <w:t xml:space="preserve"> </w:t>
      </w:r>
      <w:r>
        <w:t xml:space="preserve">Methods: A total of 144 participants (49% male; mean age=40; 87% non-Hispanic White) with a goal of abstinence provided cellular communication data and alcohol use reports via a 4x daily EMA for up to three months. Models were trained and evaluated using repeated k-fold cross-validation.</w:t>
      </w:r>
      <w:r>
        <w:t xml:space="preserve"> </w:t>
      </w:r>
      <w:r>
        <w:t xml:space="preserve">Results: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w:t>
      </w:r>
      <w:r>
        <w:t xml:space="preserve"> </w:t>
      </w:r>
      <w:r>
        <w:t xml:space="preserve">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rPr>
          <w:vertAlign w:val="superscript"/>
        </w:rPr>
        <w:t xml:space="preserve">1–3</w:t>
      </w:r>
      <w:r>
        <w:t xml:space="preserve">. Lapses, single episodes of alcohol use, are among the strongest predictors (and a necessary precursor) for relapse, a full return to harmful drinking</w:t>
      </w:r>
      <w:r>
        <w:rPr>
          <w:vertAlign w:val="superscript"/>
        </w:rPr>
        <w:t xml:space="preserve">4,5</w:t>
      </w:r>
      <w:r>
        <w:t xml:space="preserve">. While lapses can occur at any point in recovery, they are particularly risky during early recovery</w:t>
      </w:r>
      <w:r>
        <w:rPr>
          <w:vertAlign w:val="superscript"/>
        </w:rPr>
        <w:t xml:space="preserve">6</w:t>
      </w:r>
      <w:r>
        <w:t xml:space="preserve">. Protective coping mechanisms and socio-environmental resources that support recovery are dynamic and accumulate over time</w:t>
      </w:r>
      <w:r>
        <w:rPr>
          <w:vertAlign w:val="superscript"/>
        </w:rPr>
        <w:t xml:space="preserve">7</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rPr>
          <w:vertAlign w:val="superscript"/>
        </w:rPr>
        <w:t xml:space="preserve">8</w:t>
      </w:r>
      <w:r>
        <w:t xml:space="preserve">. Early machine learning models using ecological momentary assessment (EMA) data have achieved excellent accuracy in predicting future lapses back to alcohol use in treatment seeking populations</w:t>
      </w:r>
      <w:r>
        <w:rPr>
          <w:vertAlign w:val="superscript"/>
        </w:rPr>
        <w:t xml:space="preserve">9–11</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rPr>
          <w:vertAlign w:val="superscript"/>
        </w:rPr>
        <w:t xml:space="preserve">12,13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4"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at the time of the screening visit,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employment, and income) and clinical characteristics (DSM-5 AUD symptom count, alcohol problems</w:t>
      </w:r>
      <w:r>
        <w:rPr>
          <w:vertAlign w:val="superscript"/>
        </w:rPr>
        <w:t xml:space="preserve">15</w:t>
      </w:r>
      <w:r>
        <w:t xml:space="preserve">, and presence of psychological symptoms</w:t>
      </w:r>
      <w:r>
        <w:rPr>
          <w:vertAlign w:val="superscript"/>
        </w:rPr>
        <w:t xml:space="preserve">14</w:t>
      </w:r>
      <w:r>
        <w:t xml:space="preserve">). At the intake visit, roughly two weeks after screening, we collected additional self-report data on abstinence self-efficacy</w:t>
      </w:r>
      <w:r>
        <w:rPr>
          <w:vertAlign w:val="superscript"/>
        </w:rPr>
        <w:t xml:space="preserve">16</w:t>
      </w:r>
      <w:r>
        <w:t xml:space="preserve">, craving</w:t>
      </w:r>
      <w:r>
        <w:rPr>
          <w:vertAlign w:val="superscript"/>
        </w:rPr>
        <w:t xml:space="preserve">17</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The remaining EMA questions were used as features in other studies</w:t>
      </w:r>
      <w:r>
        <w:rPr>
          <w:vertAlign w:val="superscript"/>
        </w:rPr>
        <w:t xml:space="preserve">10,11</w:t>
      </w:r>
      <w:r>
        <w:t xml:space="preserve">, but were outside the scope of this cellular communication sensing study.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3" w:name="data-analysis-plan"/>
    <w:p>
      <w:pPr>
        <w:pStyle w:val="Heading2"/>
      </w:pPr>
      <w:r>
        <w:t xml:space="preserve">Data Analysis Plan</w:t>
      </w:r>
    </w:p>
    <w:bookmarkStart w:id="26"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bookmarkEnd w:id="26"/>
    <w:bookmarkStart w:id="29" w:name="feature-engineering"/>
    <w:p>
      <w:pPr>
        <w:pStyle w:val="Heading3"/>
      </w:pPr>
      <w:r>
        <w:t xml:space="preserve">Feature Engineering</w:t>
      </w:r>
    </w:p>
    <w:p>
      <w:pPr>
        <w:pStyle w:val="FirstParagraph"/>
      </w:pPr>
      <w:r>
        <w:t xml:space="preserve">We filtered the raw comunication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feature scoring epochs (6, 12, 24, 48, 72, and 168 hours before the start of the prediction window) to create features.</w:t>
      </w:r>
    </w:p>
    <w:p>
      <w:pPr>
        <w:pStyle w:val="BodyText"/>
      </w:pPr>
      <w:r>
        <w:t xml:space="preserve">Within each feature scoring epoch, we calculated two types of features: raw and difference features. Raw features represent the feature value calculated within a given feature scoring epoch. For example, the raw rate of incoming text messages in a 48-hour feature scoring epoch was calculated as the total number of incoming text messages in the 48 hours immediately preceding the start of the prediction window, divided by 48.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pStyle w:val="BodyText"/>
      </w:pPr>
      <w:r>
        <w:t xml:space="preserve">The full model included 406 features from cellular communication data plus 24 numeric or dummy-coded features from baseline self-report measures collected at screening and intake visits.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standardizing all features, and removing zero and near-zero variance features as determined from held-in data.</w:t>
      </w:r>
    </w:p>
    <w:tbl>
      <w:tblPr>
        <w:tblStyle w:val="Table"/>
        <w:tblW w:type="pct" w:w="5000"/>
        <w:tblLayout w:type="fixed"/>
        <w:tblLook w:firstRow="0" w:lastRow="0" w:firstColumn="0" w:lastColumn="0" w:noHBand="0" w:noVBand="0" w:val="0000"/>
      </w:tblPr>
      <w:tblGrid>
        <w:gridCol w:w="7920"/>
      </w:tblGrid>
      <w:tr>
        <w:tc>
          <w:tcPr/>
          <w:bookmarkStart w:id="27" w:name="tbl-1"/>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feature scoring epochs (6, 12, 24, 48, 72, and 168 hours before the start of the prediction window). Within each feature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1: Raw Predictors, Response Options, Feature Engineering Methods, Scoring Epochs, Total Number of Features, and Indication of Inclusion in Full and Baseline Models</w:t>
            </w:r>
          </w:p>
          <w:bookmarkEnd w:id="27"/>
        </w:tc>
      </w:tr>
    </w:tbl>
    <w:p>
      <w:pPr>
        <w:pStyle w:val="BodyText"/>
      </w:pPr>
      <w:r>
        <w:rPr>
          <w:vertAlign w:val="subscript"/>
        </w:rPr>
        <w:t xml:space="preserve">Source:</w:t>
      </w:r>
      <w:r>
        <w:rPr>
          <w:vertAlign w:val="subscript"/>
        </w:rPr>
        <w:t xml:space="preserve"> </w:t>
      </w:r>
      <w:hyperlink r:id="rId28">
        <w:r>
          <w:rPr>
            <w:rStyle w:val="Hyperlink"/>
            <w:vertAlign w:val="subscript"/>
          </w:rPr>
          <w:t xml:space="preserve">Make All Tables for Main Manuscript</w:t>
        </w:r>
      </w:hyperlink>
    </w:p>
    <w:bookmarkEnd w:id="29"/>
    <w:bookmarkStart w:id="32" w:name="model-selection-and-evaluation"/>
    <w:p>
      <w:pPr>
        <w:pStyle w:val="Heading3"/>
      </w:pPr>
      <w:r>
        <w:t xml:space="preserve">Model Selection and Evaluation</w:t>
      </w:r>
    </w:p>
    <w:p>
      <w:pPr>
        <w:pStyle w:val="FirstParagraph"/>
      </w:pPr>
      <w:r>
        <w:t xml:space="preserve">Candidate model configurations differed by algorithm (elastic net, random forest, XGBoost), outcome resampling method (i.e., up-sampling and down-sampling of the outcome at ratios ranging from 5:1 to 1:1), and hyperparameter values. The best configuration for each model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folds using weakly informative, data-dependent priors to regularize and reduce overfitting.</w:t>
      </w:r>
      <w:r>
        <w:rPr>
          <w:rStyle w:val="FootnoteReference"/>
        </w:rPr>
        <w:footnoteReference w:id="30"/>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31">
        <w:r>
          <w:rPr>
            <w:rStyle w:val="Hyperlink"/>
          </w:rPr>
          <w:t xml:space="preserve">https://jjcurtin.github.io/study_messages/</w:t>
        </w:r>
      </w:hyperlink>
      <w:r>
        <w:t xml:space="preserve">).</w:t>
      </w:r>
    </w:p>
    <w:bookmarkEnd w:id="32"/>
    <w:bookmarkEnd w:id="33"/>
    <w:bookmarkEnd w:id="34"/>
    <w:bookmarkStart w:id="45" w:name="results"/>
    <w:p>
      <w:pPr>
        <w:pStyle w:val="Heading1"/>
      </w:pPr>
      <w:r>
        <w:t xml:space="preserve">Results</w:t>
      </w:r>
    </w:p>
    <w:bookmarkStart w:id="37" w:name="participants"/>
    <w:p>
      <w:pPr>
        <w:pStyle w:val="Heading2"/>
      </w:pPr>
      <w:r>
        <w:t xml:space="preserve">Participants</w:t>
      </w:r>
    </w:p>
    <w:p>
      <w:pPr>
        <w:pStyle w:val="FirstParagraph"/>
      </w:pPr>
      <w:r>
        <w:t xml:space="preserve">We screened 192 participants. Of these, 169 enrolled during the intake visit and 154 completed the first follow-up visit. Data from 1 participant was excluded due to drinking multiple times a day every day on study, suggesting they did not have a goal of abstinence.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5"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 Characterization</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8"/>
    <w:bookmarkStart w:id="44"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k_figures-fig-1-output-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bookmarkEnd w:id="44"/>
    <w:bookmarkEnd w:id="45"/>
    <w:bookmarkStart w:id="46"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rPr>
          <w:vertAlign w:val="superscript"/>
        </w:rPr>
        <w:t xml:space="preserve">18</w:t>
      </w:r>
      <w:r>
        <w:t xml:space="preserve">. Therefore, our dataset likely missed a substantial portion of participants’ communications. Notably, the communication features retained in the final model were scored over the longest feature scoring epochs (72 and 168 hours), suggesting that when more data are available (i.e., more communications), these features may be become more important. Future studies could explore whether incorporating communication data from additional platforms yields stronger predictive signal. However, even with improved data collection methods, sparsity may remain a challenge, as some people just don’t communicate frequently with others and others use services (e.g., Snapchat) that automaticlaly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rPr>
          <w:vertAlign w:val="superscript"/>
        </w:rPr>
        <w:t xml:space="preserve">19</w:t>
      </w:r>
      <w:r>
        <w:t xml:space="preserve"> </w:t>
      </w:r>
      <w:r>
        <w:t xml:space="preserve">and predict future</w:t>
      </w:r>
      <w:r>
        <w:rPr>
          <w:vertAlign w:val="superscript"/>
        </w:rPr>
        <w:t xml:space="preserve">20</w:t>
      </w:r>
      <w:r>
        <w:t xml:space="preserve"> </w:t>
      </w:r>
      <w:r>
        <w:t xml:space="preserve">heavy drinking episondes in non-treatment seeking young adult populations. It is possible, that in certain populations cellular communications may hold more signal. Young adults may have more frequent communications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above and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46"/>
    <w:bookmarkStart w:id="47"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47"/>
    <w:bookmarkStart w:id="48" w:name="acknowledgments"/>
    <w:p>
      <w:pPr>
        <w:pStyle w:val="Heading1"/>
      </w:pPr>
      <w:r>
        <w:t xml:space="preserve">Acknowledgments</w:t>
      </w:r>
    </w:p>
    <w:p>
      <w:pPr>
        <w:pStyle w:val="FirstParagraph"/>
      </w:pPr>
      <w:r>
        <w:t xml:space="preserve">The authors wish to thank Susan E. Wanta for her role as the project administrator.</w:t>
      </w:r>
    </w:p>
    <w:bookmarkEnd w:id="48"/>
    <w:bookmarkStart w:id="55" w:name="statements-and-declarations"/>
    <w:p>
      <w:pPr>
        <w:pStyle w:val="Heading1"/>
      </w:pPr>
      <w:r>
        <w:t xml:space="preserve">Statements and Declarations</w:t>
      </w:r>
    </w:p>
    <w:bookmarkStart w:id="49"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w:t>
      </w:r>
    </w:p>
    <w:bookmarkEnd w:id="49"/>
    <w:bookmarkStart w:id="50" w:name="consent-to-participate"/>
    <w:p>
      <w:pPr>
        <w:pStyle w:val="Heading2"/>
      </w:pPr>
      <w:r>
        <w:t xml:space="preserve">Consent to Participate</w:t>
      </w:r>
    </w:p>
    <w:p>
      <w:pPr>
        <w:pStyle w:val="FirstParagraph"/>
      </w:pPr>
      <w:r>
        <w:t xml:space="preserve">All participants provided written informed consent.</w:t>
      </w:r>
    </w:p>
    <w:bookmarkEnd w:id="50"/>
    <w:bookmarkStart w:id="51" w:name="consent-for-publication"/>
    <w:p>
      <w:pPr>
        <w:pStyle w:val="Heading2"/>
      </w:pPr>
      <w:r>
        <w:t xml:space="preserve">Consent for Publication</w:t>
      </w:r>
    </w:p>
    <w:p>
      <w:pPr>
        <w:pStyle w:val="FirstParagraph"/>
      </w:pPr>
      <w:r>
        <w:t xml:space="preserve">Not applicable.</w:t>
      </w:r>
    </w:p>
    <w:bookmarkEnd w:id="51"/>
    <w:bookmarkStart w:id="52" w:name="declaration-of-conflicting-interest"/>
    <w:p>
      <w:pPr>
        <w:pStyle w:val="Heading2"/>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52"/>
    <w:bookmarkStart w:id="53" w:name="funding"/>
    <w:p>
      <w:pPr>
        <w:pStyle w:val="Heading2"/>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53"/>
    <w:bookmarkStart w:id="54" w:name="data-availability"/>
    <w:p>
      <w:pPr>
        <w:pStyle w:val="Heading2"/>
      </w:pPr>
      <w:r>
        <w:t xml:space="preserve">Data Availability</w:t>
      </w:r>
    </w:p>
    <w:p>
      <w:pPr>
        <w:pStyle w:val="FirstParagraph"/>
      </w:pPr>
      <w:r>
        <w:t xml:space="preserve">Our de-identified data, questionnaires, and other study materials are publicly available on our OSF page (</w:t>
      </w:r>
      <w:hyperlink r:id="rId24">
        <w:r>
          <w:rPr>
            <w:rStyle w:val="Hyperlink"/>
          </w:rPr>
          <w:t xml:space="preserve">https://osf.io/wgpz9/</w:t>
        </w:r>
      </w:hyperlink>
      <w:r>
        <w:t xml:space="preserve">).</w:t>
      </w:r>
    </w:p>
    <w:p>
      <w:r>
        <w:br w:type="page"/>
      </w:r>
    </w:p>
    <w:bookmarkEnd w:id="54"/>
    <w:bookmarkEnd w:id="55"/>
    <w:bookmarkStart w:id="91" w:name="references"/>
    <w:p>
      <w:pPr>
        <w:pStyle w:val="Heading1"/>
      </w:pPr>
      <w:r>
        <w:t xml:space="preserve">References</w:t>
      </w:r>
    </w:p>
    <w:bookmarkStart w:id="90" w:name="refs"/>
    <w:bookmarkStart w:id="57" w:name="ref-mclellanDrugDependenceChronic2000"/>
    <w:p>
      <w:pPr>
        <w:pStyle w:val="Bibliography"/>
      </w:pPr>
      <w:r>
        <w:t xml:space="preserve">1.</w:t>
      </w:r>
      <w:r>
        <w:t xml:space="preserve"> </w:t>
      </w:r>
      <w:r>
        <w:t xml:space="preserve">	</w:t>
      </w:r>
      <w:r>
        <w:t xml:space="preserve">McLellan AT, Lewis DC, O’Brien CP, et al.</w:t>
      </w:r>
      <w:r>
        <w:t xml:space="preserve"> </w:t>
      </w:r>
      <w:hyperlink r:id="rId56">
        <w:r>
          <w:rPr>
            <w:rStyle w:val="Hyperlink"/>
          </w:rPr>
          <w:t xml:space="preserve">Drug dependence, a chronic medical illness: Implications for treatment, insurance, and outcomes evaluation</w:t>
        </w:r>
      </w:hyperlink>
      <w:r>
        <w:t xml:space="preserve">.</w:t>
      </w:r>
      <w:r>
        <w:t xml:space="preserve"> </w:t>
      </w:r>
      <w:r>
        <w:rPr>
          <w:i/>
          <w:iCs/>
        </w:rPr>
        <w:t xml:space="preserve">JAMA</w:t>
      </w:r>
      <w:r>
        <w:t xml:space="preserve"> </w:t>
      </w:r>
      <w:r>
        <w:t xml:space="preserve">2000; 284: 1689–1695.</w:t>
      </w:r>
    </w:p>
    <w:bookmarkEnd w:id="57"/>
    <w:bookmarkStart w:id="59" w:name="ref-dennisManagingAddictionChronic2007"/>
    <w:p>
      <w:pPr>
        <w:pStyle w:val="Bibliography"/>
      </w:pPr>
      <w:r>
        <w:t xml:space="preserve">2.</w:t>
      </w:r>
      <w:r>
        <w:t xml:space="preserve"> </w:t>
      </w:r>
      <w:r>
        <w:t xml:space="preserve">	</w:t>
      </w:r>
      <w:r>
        <w:t xml:space="preserve">Dennis M, Scott CK.</w:t>
      </w:r>
      <w:r>
        <w:t xml:space="preserve"> </w:t>
      </w:r>
      <w:hyperlink r:id="rId58">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 </w:t>
      </w:r>
      <w:r>
        <w:t xml:space="preserve">2007; 4: 45–55.</w:t>
      </w:r>
    </w:p>
    <w:bookmarkEnd w:id="59"/>
    <w:bookmarkStart w:id="60" w:name="ref-rounsavilleLapseRelapseChasing2010"/>
    <w:p>
      <w:pPr>
        <w:pStyle w:val="Bibliography"/>
      </w:pPr>
      <w:r>
        <w:t xml:space="preserve">3.</w:t>
      </w:r>
      <w:r>
        <w:t xml:space="preserve"> </w:t>
      </w:r>
      <w:r>
        <w:t xml:space="preserve">	</w:t>
      </w:r>
      <w:r>
        <w:t xml:space="preserve">Rounsaville DB.</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PhD Thesis, University of Maryland, Baltimore County, 2010.</w:t>
      </w:r>
    </w:p>
    <w:bookmarkEnd w:id="60"/>
    <w:bookmarkStart w:id="61" w:name="X0900e084d2d8751b94683f82b04534ea811d54e"/>
    <w:p>
      <w:pPr>
        <w:pStyle w:val="Bibliography"/>
      </w:pPr>
      <w:r>
        <w:t xml:space="preserve">4.</w:t>
      </w:r>
      <w:r>
        <w:t xml:space="preserve"> </w:t>
      </w:r>
      <w:r>
        <w:t xml:space="preserve">	</w:t>
      </w:r>
      <w:r>
        <w:t xml:space="preserve">Marlatt GA, Gordon JR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 1985.</w:t>
      </w:r>
    </w:p>
    <w:bookmarkEnd w:id="61"/>
    <w:bookmarkStart w:id="62" w:name="ref-marlattRelapsePreventionSecond2007"/>
    <w:p>
      <w:pPr>
        <w:pStyle w:val="Bibliography"/>
      </w:pPr>
      <w:r>
        <w:t xml:space="preserve">5.</w:t>
      </w:r>
      <w:r>
        <w:t xml:space="preserve"> </w:t>
      </w:r>
      <w:r>
        <w:t xml:space="preserve">	</w:t>
      </w:r>
      <w:r>
        <w:t xml:space="preserve">Marlatt GA, Donovan DM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2nd edition. New York London: The Guilford Press, 2007.</w:t>
      </w:r>
    </w:p>
    <w:bookmarkEnd w:id="62"/>
    <w:bookmarkStart w:id="64" w:name="ref-daleyReducingRiskRelapse2019"/>
    <w:p>
      <w:pPr>
        <w:pStyle w:val="Bibliography"/>
      </w:pPr>
      <w:r>
        <w:t xml:space="preserve">6.</w:t>
      </w:r>
      <w:r>
        <w:t xml:space="preserve"> </w:t>
      </w:r>
      <w:r>
        <w:t xml:space="preserve">	</w:t>
      </w:r>
      <w:r>
        <w:t xml:space="preserve">Daley DC, Douaihy A.</w:t>
      </w:r>
      <w:r>
        <w:t xml:space="preserve"> </w:t>
      </w:r>
      <w:hyperlink r:id="rId63">
        <w:r>
          <w:rPr>
            <w:rStyle w:val="Hyperlink"/>
          </w:rPr>
          <w:t xml:space="preserve">Reducing the</w:t>
        </w:r>
        <w:r>
          <w:rPr>
            <w:rStyle w:val="Hyperlink"/>
          </w:rPr>
          <w:t xml:space="preserve"> </w:t>
        </w:r>
        <w:r>
          <w:rPr>
            <w:rStyle w:val="Hyperlink"/>
          </w:rPr>
          <w:t xml:space="preserve">Risk</w:t>
        </w:r>
        <w:r>
          <w:rPr>
            <w:rStyle w:val="Hyperlink"/>
          </w:rPr>
          <w:t xml:space="preserve"> </w:t>
        </w:r>
        <w:r>
          <w:rPr>
            <w:rStyle w:val="Hyperlink"/>
          </w:rPr>
          <w:t xml:space="preserve">of</w:t>
        </w:r>
        <w:r>
          <w:rPr>
            <w:rStyle w:val="Hyperlink"/>
          </w:rPr>
          <w:t xml:space="preserve"> </w:t>
        </w:r>
        <w:r>
          <w:rPr>
            <w:rStyle w:val="Hyperlink"/>
          </w:rPr>
          <w:t xml:space="preserve">Relapse</w:t>
        </w:r>
      </w:hyperlink>
      <w:r>
        <w:t xml:space="preserve">. In: Daley DC, Douaihy AB, Daley DC, et al.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Oxford University Press, 2019, p. 0.</w:t>
      </w:r>
    </w:p>
    <w:bookmarkEnd w:id="64"/>
    <w:bookmarkStart w:id="66" w:name="ref-clevelandRecoveryRecoveryCapital2021"/>
    <w:p>
      <w:pPr>
        <w:pStyle w:val="Bibliography"/>
      </w:pPr>
      <w:r>
        <w:t xml:space="preserve">7.</w:t>
      </w:r>
      <w:r>
        <w:t xml:space="preserve"> </w:t>
      </w:r>
      <w:r>
        <w:t xml:space="preserve">	</w:t>
      </w:r>
      <w:r>
        <w:t xml:space="preserve">Cleveland HH, Brick TR, Knapp KS, et al.</w:t>
      </w:r>
      <w:r>
        <w:t xml:space="preserve"> </w:t>
      </w:r>
      <w:hyperlink r:id="rId65">
        <w:r>
          <w:rPr>
            <w:rStyle w:val="Hyperlink"/>
          </w:rPr>
          <w:t xml:space="preserve">Recovery and</w:t>
        </w:r>
        <w:r>
          <w:rPr>
            <w:rStyle w:val="Hyperlink"/>
          </w:rPr>
          <w:t xml:space="preserve"> </w:t>
        </w:r>
        <w:r>
          <w:rPr>
            <w:rStyle w:val="Hyperlink"/>
          </w:rPr>
          <w:t xml:space="preserve">Recovery Capital</w:t>
        </w:r>
        <w:r>
          <w:rPr>
            <w:rStyle w:val="Hyperlink"/>
          </w:rPr>
          <w:t xml:space="preserve">:</w:t>
        </w:r>
        <w:r>
          <w:rPr>
            <w:rStyle w:val="Hyperlink"/>
          </w:rPr>
          <w:t xml:space="preserve"> </w:t>
        </w:r>
        <w:r>
          <w:rPr>
            <w:rStyle w:val="Hyperlink"/>
          </w:rPr>
          <w:t xml:space="preserve">Aligning Measurement</w:t>
        </w:r>
        <w:r>
          <w:rPr>
            <w:rStyle w:val="Hyperlink"/>
          </w:rPr>
          <w:t xml:space="preserve"> </w:t>
        </w:r>
        <w:r>
          <w:rPr>
            <w:rStyle w:val="Hyperlink"/>
          </w:rPr>
          <w:t xml:space="preserve">with</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Practice</w:t>
        </w:r>
      </w:hyperlink>
      <w:r>
        <w:t xml:space="preserve">. In: Croff JM, Beaman J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Cham: Springer International Publishing, 2021, pp. 109–128.</w:t>
      </w:r>
    </w:p>
    <w:bookmarkEnd w:id="66"/>
    <w:bookmarkStart w:id="68" w:name="ref-mohrPersonalSensingUnderstanding2017"/>
    <w:p>
      <w:pPr>
        <w:pStyle w:val="Bibliography"/>
      </w:pPr>
      <w:r>
        <w:t xml:space="preserve">8.</w:t>
      </w:r>
      <w:r>
        <w:t xml:space="preserve"> </w:t>
      </w:r>
      <w:r>
        <w:t xml:space="preserve">	</w:t>
      </w:r>
      <w:r>
        <w:t xml:space="preserve">Mohr DC, Zhang M, Schueller SM.</w:t>
      </w:r>
      <w:r>
        <w:t xml:space="preserve"> </w:t>
      </w:r>
      <w:hyperlink r:id="rId67">
        <w:r>
          <w:rPr>
            <w:rStyle w:val="Hyperlink"/>
          </w:rPr>
          <w:t xml:space="preserve">Personal</w:t>
        </w:r>
        <w:r>
          <w:rPr>
            <w:rStyle w:val="Hyperlink"/>
          </w:rPr>
          <w:t xml:space="preserve"> </w:t>
        </w:r>
        <w:r>
          <w:rPr>
            <w:rStyle w:val="Hyperlink"/>
          </w:rPr>
          <w:t xml:space="preserve">Sensing</w:t>
        </w:r>
        <w:r>
          <w:rPr>
            <w:rStyle w:val="Hyperlink"/>
          </w:rPr>
          <w:t xml:space="preserve">:</w:t>
        </w:r>
        <w:r>
          <w:rPr>
            <w:rStyle w:val="Hyperlink"/>
          </w:rPr>
          <w:t xml:space="preserve"> </w:t>
        </w:r>
        <w:r>
          <w:rPr>
            <w:rStyle w:val="Hyperlink"/>
          </w:rPr>
          <w:t xml:space="preserve">Understanding Mental Health Using Ubiquitous Sensors</w:t>
        </w:r>
        <w:r>
          <w:rPr>
            <w:rStyle w:val="Hyperlink"/>
          </w:rPr>
          <w:t xml:space="preserve"> </w:t>
        </w:r>
        <w:r>
          <w:rPr>
            <w:rStyle w:val="Hyperlink"/>
          </w:rPr>
          <w:t xml:space="preserve">and</w:t>
        </w:r>
        <w:r>
          <w:rPr>
            <w:rStyle w:val="Hyperlink"/>
          </w:rPr>
          <w:t xml:space="preserve"> </w:t>
        </w:r>
        <w:r>
          <w:rPr>
            <w:rStyle w:val="Hyperlink"/>
          </w:rPr>
          <w:t xml:space="preserve">Machine Learning</w:t>
        </w:r>
      </w:hyperlink>
      <w:r>
        <w:t xml:space="preserve">.</w:t>
      </w:r>
      <w:r>
        <w:t xml:space="preserve"> </w:t>
      </w:r>
      <w:r>
        <w:rPr>
          <w:i/>
          <w:iCs/>
        </w:rPr>
        <w:t xml:space="preserve">Annual Review of Clinical Psychology</w:t>
      </w:r>
      <w:r>
        <w:t xml:space="preserve"> </w:t>
      </w:r>
      <w:r>
        <w:t xml:space="preserve">2017; 13: 23–47.</w:t>
      </w:r>
    </w:p>
    <w:bookmarkEnd w:id="68"/>
    <w:bookmarkStart w:id="70" w:name="ref-chihPredictiveModelingAddiction2014"/>
    <w:p>
      <w:pPr>
        <w:pStyle w:val="Bibliography"/>
      </w:pPr>
      <w:r>
        <w:t xml:space="preserve">9.</w:t>
      </w:r>
      <w:r>
        <w:t xml:space="preserve"> </w:t>
      </w:r>
      <w:r>
        <w:t xml:space="preserve">	</w:t>
      </w:r>
      <w:r>
        <w:t xml:space="preserve">Chih M-Y, Patton T, McTavish FM, et al.</w:t>
      </w:r>
      <w:r>
        <w:t xml:space="preserve"> </w:t>
      </w:r>
      <w:hyperlink r:id="rId69">
        <w:r>
          <w:rPr>
            <w:rStyle w:val="Hyperlink"/>
          </w:rPr>
          <w:t xml:space="preserve">Predictive modeling of addiction lapses in a mobile health application</w:t>
        </w:r>
      </w:hyperlink>
      <w:r>
        <w:t xml:space="preserve">.</w:t>
      </w:r>
      <w:r>
        <w:t xml:space="preserve"> </w:t>
      </w:r>
      <w:r>
        <w:rPr>
          <w:i/>
          <w:iCs/>
        </w:rPr>
        <w:t xml:space="preserve">Journal of Substance Abuse Treatment</w:t>
      </w:r>
      <w:r>
        <w:t xml:space="preserve"> </w:t>
      </w:r>
      <w:r>
        <w:t xml:space="preserve">2014; 46: 29–35.</w:t>
      </w:r>
    </w:p>
    <w:bookmarkEnd w:id="70"/>
    <w:bookmarkStart w:id="72" w:name="ref-wyantMachineLearningModels2024"/>
    <w:p>
      <w:pPr>
        <w:pStyle w:val="Bibliography"/>
      </w:pPr>
      <w:r>
        <w:t xml:space="preserve">10.</w:t>
      </w:r>
      <w:r>
        <w:t xml:space="preserve"> </w:t>
      </w:r>
      <w:r>
        <w:t xml:space="preserve">	</w:t>
      </w:r>
      <w:r>
        <w:t xml:space="preserve">Wyant K, Sant’Ana SJ, Fronk GE, et al.</w:t>
      </w:r>
      <w:r>
        <w:t xml:space="preserve"> </w:t>
      </w:r>
      <w:hyperlink r:id="rId71">
        <w:r>
          <w:rPr>
            <w:rStyle w:val="Hyperlink"/>
          </w:rPr>
          <w:t xml:space="preserve">Machine learning models for temporally precise lapse prediction in alcohol use disorder</w:t>
        </w:r>
      </w:hyperlink>
      <w:r>
        <w:t xml:space="preserve">.</w:t>
      </w:r>
      <w:r>
        <w:t xml:space="preserve"> </w:t>
      </w:r>
      <w:r>
        <w:rPr>
          <w:i/>
          <w:iCs/>
        </w:rPr>
        <w:t xml:space="preserve">Journal of Psychopathology and Clinical Science</w:t>
      </w:r>
      <w:r>
        <w:t xml:space="preserve"> </w:t>
      </w:r>
      <w:r>
        <w:t xml:space="preserve">2024; 133: 527–540.</w:t>
      </w:r>
    </w:p>
    <w:bookmarkEnd w:id="72"/>
    <w:bookmarkStart w:id="73" w:name="Xd3cf5dced997940b3810fae8f5a19eca304449d"/>
    <w:p>
      <w:pPr>
        <w:pStyle w:val="Bibliography"/>
      </w:pPr>
      <w:r>
        <w:t xml:space="preserve">11.</w:t>
      </w:r>
      <w:r>
        <w:t xml:space="preserve"> </w:t>
      </w:r>
      <w:r>
        <w:t xml:space="preserve">	</w:t>
      </w:r>
      <w:r>
        <w:t xml:space="preserve">Wyant K, Fronk GE, Yu C, et al.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w:t>
      </w:r>
    </w:p>
    <w:bookmarkEnd w:id="73"/>
    <w:bookmarkStart w:id="75" w:name="X9dfa929848d202736296032659cec14e42606bb"/>
    <w:p>
      <w:pPr>
        <w:pStyle w:val="Bibliography"/>
      </w:pPr>
      <w:r>
        <w:t xml:space="preserve">12.</w:t>
      </w:r>
      <w:r>
        <w:t xml:space="preserve"> </w:t>
      </w:r>
      <w:r>
        <w:t xml:space="preserve">	</w:t>
      </w:r>
      <w:r>
        <w:t xml:space="preserve">Jones A, Remmerswaal D, Verveer I, et al.</w:t>
      </w:r>
      <w:r>
        <w:t xml:space="preserve"> </w:t>
      </w:r>
      <w:hyperlink r:id="rId74">
        <w:r>
          <w:rPr>
            <w:rStyle w:val="Hyperlink"/>
          </w:rPr>
          <w:t xml:space="preserve">Compliance with ecological momentary assessment protocols in substance users: A meta-analysis</w:t>
        </w:r>
      </w:hyperlink>
      <w:r>
        <w:t xml:space="preserve">.</w:t>
      </w:r>
      <w:r>
        <w:t xml:space="preserve"> </w:t>
      </w:r>
      <w:r>
        <w:rPr>
          <w:i/>
          <w:iCs/>
        </w:rPr>
        <w:t xml:space="preserve">Addiction (Abingdon, England)</w:t>
      </w:r>
      <w:r>
        <w:t xml:space="preserve"> </w:t>
      </w:r>
      <w:r>
        <w:t xml:space="preserve">2019; 114: 609–619.</w:t>
      </w:r>
    </w:p>
    <w:bookmarkEnd w:id="75"/>
    <w:bookmarkStart w:id="77" w:name="Xb35ee182d565575e339a0170868456c1684f821"/>
    <w:p>
      <w:pPr>
        <w:pStyle w:val="Bibliography"/>
      </w:pPr>
      <w:r>
        <w:t xml:space="preserve">13.</w:t>
      </w:r>
      <w:r>
        <w:t xml:space="preserve"> </w:t>
      </w:r>
      <w:r>
        <w:t xml:space="preserve">	</w:t>
      </w:r>
      <w:r>
        <w:t xml:space="preserve">Wyant K, Moshontz H, Ward SB, et al.</w:t>
      </w:r>
      <w:r>
        <w:t xml:space="preserve"> </w:t>
      </w:r>
      <w:hyperlink r:id="rId76">
        <w:r>
          <w:rPr>
            <w:rStyle w:val="Hyperlink"/>
          </w:rPr>
          <w:t xml:space="preserve">Acceptability of</w:t>
        </w:r>
        <w:r>
          <w:rPr>
            <w:rStyle w:val="Hyperlink"/>
          </w:rPr>
          <w:t xml:space="preserve"> </w:t>
        </w:r>
        <w:r>
          <w:rPr>
            <w:rStyle w:val="Hyperlink"/>
          </w:rPr>
          <w:t xml:space="preserve">Personal Sensing Among People With Alcohol Use Disorder</w:t>
        </w:r>
        <w:r>
          <w:rPr>
            <w:rStyle w:val="Hyperlink"/>
          </w:rPr>
          <w:t xml:space="preserve">:</w:t>
        </w:r>
        <w:r>
          <w:rPr>
            <w:rStyle w:val="Hyperlink"/>
          </w:rPr>
          <w:t xml:space="preserve"> </w:t>
        </w:r>
        <w:r>
          <w:rPr>
            <w:rStyle w:val="Hyperlink"/>
          </w:rPr>
          <w:t xml:space="preserve">Observational Study</w:t>
        </w:r>
      </w:hyperlink>
      <w:r>
        <w:t xml:space="preserve">.</w:t>
      </w:r>
      <w:r>
        <w:t xml:space="preserve"> </w:t>
      </w:r>
      <w:r>
        <w:rPr>
          <w:i/>
          <w:iCs/>
        </w:rPr>
        <w:t xml:space="preserve">JMIR mHealth and uHealth</w:t>
      </w:r>
      <w:r>
        <w:t xml:space="preserve"> </w:t>
      </w:r>
      <w:r>
        <w:t xml:space="preserve">2023; 11: e41833.</w:t>
      </w:r>
    </w:p>
    <w:bookmarkEnd w:id="77"/>
    <w:bookmarkStart w:id="78" w:name="ref-derogatislBriefSymptomInventory"/>
    <w:p>
      <w:pPr>
        <w:pStyle w:val="Bibliography"/>
      </w:pPr>
      <w:r>
        <w:t xml:space="preserve">14.</w:t>
      </w:r>
      <w:r>
        <w:t xml:space="preserve"> </w:t>
      </w:r>
      <w:r>
        <w:t xml:space="preserve">	</w:t>
      </w:r>
      <w:r>
        <w:t xml:space="preserve">Derogatis, L.R.</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Minneapolis: NCS Pearson, 2000.</w:t>
      </w:r>
    </w:p>
    <w:bookmarkEnd w:id="78"/>
    <w:bookmarkStart w:id="79" w:name="ref-hurlbutAssessingAlcoholProblems1992"/>
    <w:p>
      <w:pPr>
        <w:pStyle w:val="Bibliography"/>
      </w:pPr>
      <w:r>
        <w:t xml:space="preserve">15.</w:t>
      </w:r>
      <w:r>
        <w:t xml:space="preserve"> </w:t>
      </w:r>
      <w:r>
        <w:t xml:space="preserve">	</w:t>
      </w:r>
      <w:r>
        <w:t xml:space="preserve">Hurlbut SC, Sher KJ. Assessing alcohol problems in college students.</w:t>
      </w:r>
      <w:r>
        <w:t xml:space="preserve"> </w:t>
      </w:r>
      <w:r>
        <w:rPr>
          <w:i/>
          <w:iCs/>
        </w:rPr>
        <w:t xml:space="preserve">Journal of American College Health</w:t>
      </w:r>
      <w:r>
        <w:t xml:space="preserve"> </w:t>
      </w:r>
      <w:r>
        <w:t xml:space="preserve">1992; 41: 49–58.</w:t>
      </w:r>
    </w:p>
    <w:bookmarkEnd w:id="79"/>
    <w:bookmarkStart w:id="81" w:name="Xcae8ce16b0973d3f8a23c89fe6ee90c012f333c"/>
    <w:p>
      <w:pPr>
        <w:pStyle w:val="Bibliography"/>
      </w:pPr>
      <w:r>
        <w:t xml:space="preserve">16.</w:t>
      </w:r>
      <w:r>
        <w:t xml:space="preserve"> </w:t>
      </w:r>
      <w:r>
        <w:t xml:space="preserve">	</w:t>
      </w:r>
      <w:r>
        <w:t xml:space="preserve">McKiernan P, Cloud R, Patterson DA, et al.</w:t>
      </w:r>
      <w:r>
        <w:t xml:space="preserve"> </w:t>
      </w:r>
      <w:hyperlink r:id="rId80">
        <w:r>
          <w:rPr>
            <w:rStyle w:val="Hyperlink"/>
          </w:rPr>
          <w:t xml:space="preserve">Development of a</w:t>
        </w:r>
        <w:r>
          <w:rPr>
            <w:rStyle w:val="Hyperlink"/>
          </w:rPr>
          <w:t xml:space="preserve"> </w:t>
        </w:r>
        <w:r>
          <w:rPr>
            <w:rStyle w:val="Hyperlink"/>
          </w:rPr>
          <w:t xml:space="preserve">Brief Abstinence Self-Efficacy Measure</w:t>
        </w:r>
      </w:hyperlink>
      <w:r>
        <w:t xml:space="preserve">.</w:t>
      </w:r>
      <w:r>
        <w:t xml:space="preserve"> </w:t>
      </w:r>
      <w:r>
        <w:rPr>
          <w:i/>
          <w:iCs/>
        </w:rPr>
        <w:t xml:space="preserve">Journal of social work practice in the addictions</w:t>
      </w:r>
      <w:r>
        <w:t xml:space="preserve"> </w:t>
      </w:r>
      <w:r>
        <w:t xml:space="preserve">2011; 11: 245–253.</w:t>
      </w:r>
    </w:p>
    <w:bookmarkEnd w:id="81"/>
    <w:bookmarkStart w:id="83" w:name="X72fdb242290119aefa439c46cdcc18630f6c0fa"/>
    <w:p>
      <w:pPr>
        <w:pStyle w:val="Bibliography"/>
      </w:pPr>
      <w:r>
        <w:t xml:space="preserve">17.</w:t>
      </w:r>
      <w:r>
        <w:t xml:space="preserve"> </w:t>
      </w:r>
      <w:r>
        <w:t xml:space="preserve">	</w:t>
      </w:r>
      <w:r>
        <w:t xml:space="preserve">Flannery BA, Volpicelli JR, Pettinati HM.</w:t>
      </w:r>
      <w:r>
        <w:t xml:space="preserve"> </w:t>
      </w:r>
      <w:hyperlink r:id="rId82">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 </w:t>
      </w:r>
      <w:r>
        <w:t xml:space="preserve">1999; 23: 1289–1295.</w:t>
      </w:r>
    </w:p>
    <w:bookmarkEnd w:id="83"/>
    <w:bookmarkStart w:id="85" w:name="X948b064f539498125570f43a275c11fe3804a5f"/>
    <w:p>
      <w:pPr>
        <w:pStyle w:val="Bibliography"/>
      </w:pPr>
      <w:r>
        <w:t xml:space="preserve">18.</w:t>
      </w:r>
      <w:r>
        <w:t xml:space="preserve"> </w:t>
      </w:r>
      <w:r>
        <w:t xml:space="preserve">	</w:t>
      </w:r>
      <w:r>
        <w:t xml:space="preserve">McDowell B, Dumais KM, Gary ST, et al.</w:t>
      </w:r>
      <w:r>
        <w:t xml:space="preserve"> </w:t>
      </w:r>
      <w:hyperlink r:id="rId84">
        <w:r>
          <w:rPr>
            <w:rStyle w:val="Hyperlink"/>
          </w:rPr>
          <w:t xml:space="preserve">Preferences and</w:t>
        </w:r>
        <w:r>
          <w:rPr>
            <w:rStyle w:val="Hyperlink"/>
          </w:rPr>
          <w:t xml:space="preserve"> </w:t>
        </w:r>
        <w:r>
          <w:rPr>
            <w:rStyle w:val="Hyperlink"/>
          </w:rPr>
          <w:t xml:space="preserve">Attitudes Towards Digital Communication</w:t>
        </w:r>
        <w:r>
          <w:rPr>
            <w:rStyle w:val="Hyperlink"/>
          </w:rPr>
          <w:t xml:space="preserve"> </w:t>
        </w:r>
        <w:r>
          <w:rPr>
            <w:rStyle w:val="Hyperlink"/>
          </w:rPr>
          <w:t xml:space="preserve">and</w:t>
        </w:r>
        <w:r>
          <w:rPr>
            <w:rStyle w:val="Hyperlink"/>
          </w:rPr>
          <w:t xml:space="preserve"> </w:t>
        </w:r>
        <w:r>
          <w:rPr>
            <w:rStyle w:val="Hyperlink"/>
          </w:rPr>
          <w:t xml:space="preserve">Symptom Reporting Methods</w:t>
        </w:r>
        <w:r>
          <w:rPr>
            <w:rStyle w:val="Hyperlink"/>
          </w:rPr>
          <w:t xml:space="preserve"> </w:t>
        </w:r>
        <w:r>
          <w:rPr>
            <w:rStyle w:val="Hyperlink"/>
          </w:rPr>
          <w:t xml:space="preserve">in</w:t>
        </w:r>
        <w:r>
          <w:rPr>
            <w:rStyle w:val="Hyperlink"/>
          </w:rPr>
          <w:t xml:space="preserve"> </w:t>
        </w:r>
        <w:r>
          <w:rPr>
            <w:rStyle w:val="Hyperlink"/>
          </w:rPr>
          <w:t xml:space="preserve">Clinical Trials</w:t>
        </w:r>
      </w:hyperlink>
      <w:r>
        <w:t xml:space="preserve">.</w:t>
      </w:r>
      <w:r>
        <w:t xml:space="preserve"> </w:t>
      </w:r>
      <w:r>
        <w:rPr>
          <w:i/>
          <w:iCs/>
        </w:rPr>
        <w:t xml:space="preserve">Patient preference and adherence</w:t>
      </w:r>
      <w:r>
        <w:t xml:space="preserve"> </w:t>
      </w:r>
      <w:r>
        <w:t xml:space="preserve">2025; 19: 255–263.</w:t>
      </w:r>
    </w:p>
    <w:bookmarkEnd w:id="85"/>
    <w:bookmarkStart w:id="87" w:name="ref-baeDetectingDrinkingEpisodes2017"/>
    <w:p>
      <w:pPr>
        <w:pStyle w:val="Bibliography"/>
      </w:pPr>
      <w:r>
        <w:t xml:space="preserve">19.</w:t>
      </w:r>
      <w:r>
        <w:t xml:space="preserve"> </w:t>
      </w:r>
      <w:r>
        <w:t xml:space="preserve">	</w:t>
      </w:r>
      <w:r>
        <w:t xml:space="preserve">Bae S, Ferreira D, Suffoletto B, et al.</w:t>
      </w:r>
      <w:r>
        <w:t xml:space="preserve"> </w:t>
      </w:r>
      <w:hyperlink r:id="rId86">
        <w:r>
          <w:rPr>
            <w:rStyle w:val="Hyperlink"/>
          </w:rPr>
          <w:t xml:space="preserve">Detecting</w:t>
        </w:r>
        <w:r>
          <w:rPr>
            <w:rStyle w:val="Hyperlink"/>
          </w:rPr>
          <w:t xml:space="preserve"> </w:t>
        </w:r>
        <w:r>
          <w:rPr>
            <w:rStyle w:val="Hyperlink"/>
          </w:rPr>
          <w:t xml:space="preserve">Drinking Episodes</w:t>
        </w:r>
        <w:r>
          <w:rPr>
            <w:rStyle w:val="Hyperlink"/>
          </w:rPr>
          <w:t xml:space="preserve"> </w:t>
        </w:r>
        <w:r>
          <w:rPr>
            <w:rStyle w:val="Hyperlink"/>
          </w:rPr>
          <w:t xml:space="preserve">in</w:t>
        </w:r>
        <w:r>
          <w:rPr>
            <w:rStyle w:val="Hyperlink"/>
          </w:rPr>
          <w:t xml:space="preserve"> </w:t>
        </w:r>
        <w:r>
          <w:rPr>
            <w:rStyle w:val="Hyperlink"/>
          </w:rPr>
          <w:t xml:space="preserve">Young Adults Using Smartphone-based Sensors</w:t>
        </w:r>
      </w:hyperlink>
      <w:r>
        <w:t xml:space="preserve">.</w:t>
      </w:r>
      <w:r>
        <w:t xml:space="preserve"> </w:t>
      </w:r>
      <w:r>
        <w:rPr>
          <w:i/>
          <w:iCs/>
        </w:rPr>
        <w:t xml:space="preserve">Proceedings of the ACM on Interactive, Mobile, Wearable and Ubiquitous Technologies</w:t>
      </w:r>
      <w:r>
        <w:t xml:space="preserve"> </w:t>
      </w:r>
      <w:r>
        <w:t xml:space="preserve">2017; 1: 1–36.</w:t>
      </w:r>
    </w:p>
    <w:bookmarkEnd w:id="87"/>
    <w:bookmarkStart w:id="89" w:name="ref-baeLeveragingMobilePhone2023"/>
    <w:p>
      <w:pPr>
        <w:pStyle w:val="Bibliography"/>
      </w:pPr>
      <w:r>
        <w:t xml:space="preserve">20.</w:t>
      </w:r>
      <w:r>
        <w:t xml:space="preserve"> </w:t>
      </w:r>
      <w:r>
        <w:t xml:space="preserve">	</w:t>
      </w:r>
      <w:r>
        <w:t xml:space="preserve">Bae SW, Suffoletto B, Zhang T,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 Epub ahead of print February 2023. DOI:</w:t>
      </w:r>
      <w:r>
        <w:t xml:space="preserve"> </w:t>
      </w:r>
      <w:hyperlink r:id="rId88">
        <w:r>
          <w:rPr>
            <w:rStyle w:val="Hyperlink"/>
          </w:rPr>
          <w:t xml:space="preserve">10.2196/39862</w:t>
        </w:r>
      </w:hyperlink>
      <w:r>
        <w:t xml:space="preserve">.</w:t>
      </w:r>
    </w:p>
    <w:bookmarkEnd w:id="89"/>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rPr>
          <w:vertAlign w:val="superscript"/>
        </w:rPr>
        <w:t xml:space="preserve">14</w:t>
      </w:r>
      <w:r>
        <w:t xml:space="preserve">.</w:t>
      </w:r>
    </w:p>
  </w:footnote>
  <w:footnote w:id="30">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56" Target="https://doi.org/10.1001/jama.284.13.1689" TargetMode="External" /><Relationship Type="http://schemas.openxmlformats.org/officeDocument/2006/relationships/hyperlink" Id="rId65" Target="https://doi.org/10.1007/978-3-030-56958-7_6" TargetMode="External" /><Relationship Type="http://schemas.openxmlformats.org/officeDocument/2006/relationships/hyperlink" Id="rId69" Target="https://doi.org/10.1016/j.jsat.2013.08.004" TargetMode="External" /><Relationship Type="http://schemas.openxmlformats.org/officeDocument/2006/relationships/hyperlink" Id="rId71" Target="https://doi.org/10.1037/abn0000901" TargetMode="External" /><Relationship Type="http://schemas.openxmlformats.org/officeDocument/2006/relationships/hyperlink" Id="rId80" Target="https://doi.org/10.1080/1533256X.2011.593445" TargetMode="External" /><Relationship Type="http://schemas.openxmlformats.org/officeDocument/2006/relationships/hyperlink" Id="rId63" Target="https://doi.org/10.1093/med-psych/9780190926717.003.0018" TargetMode="External" /><Relationship Type="http://schemas.openxmlformats.org/officeDocument/2006/relationships/hyperlink" Id="rId86" Target="https://doi.org/10.1145/3090051" TargetMode="External" /><Relationship Type="http://schemas.openxmlformats.org/officeDocument/2006/relationships/hyperlink" Id="rId67" Target="https://doi.org/10.1146/annurev-clinpsy-032816-044949" TargetMode="External" /><Relationship Type="http://schemas.openxmlformats.org/officeDocument/2006/relationships/hyperlink" Id="rId84" Target="https://doi.org/10.2147/PPA.S474535" TargetMode="External" /><Relationship Type="http://schemas.openxmlformats.org/officeDocument/2006/relationships/hyperlink" Id="rId88" Target="https://doi.org/10.2196/39862" TargetMode="External" /><Relationship Type="http://schemas.openxmlformats.org/officeDocument/2006/relationships/hyperlink" Id="rId76" Target="https://doi.org/10.2196/41833" TargetMode="External" /><Relationship Type="http://schemas.openxmlformats.org/officeDocument/2006/relationships/hyperlink" Id="rId74" Target="https://doi.org/10/gfsjzg" TargetMode="External" /><Relationship Type="http://schemas.openxmlformats.org/officeDocument/2006/relationships/hyperlink" Id="rId31"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3" Target="https://jjcurtin.github.io/study_messages/notebooks\mak_figures-preview.html#cell-fig-1" TargetMode="External" /><Relationship Type="http://schemas.openxmlformats.org/officeDocument/2006/relationships/hyperlink" Id="rId28" Target="https://jjcurtin.github.io/study_messages/notebooks\mak_tables-preview.html#cell-tbl-1" TargetMode="External" /><Relationship Type="http://schemas.openxmlformats.org/officeDocument/2006/relationships/hyperlink" Id="rId36"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8" Target="https://www.ncbi.nlm.nih.gov/pmc/articles/PMC2797101" TargetMode="External" /><Relationship Type="http://schemas.openxmlformats.org/officeDocument/2006/relationships/hyperlink" Id="rId82"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01/jama.284.13.1689" TargetMode="External" /><Relationship Type="http://schemas.openxmlformats.org/officeDocument/2006/relationships/hyperlink" Id="rId65" Target="https://doi.org/10.1007/978-3-030-56958-7_6" TargetMode="External" /><Relationship Type="http://schemas.openxmlformats.org/officeDocument/2006/relationships/hyperlink" Id="rId69" Target="https://doi.org/10.1016/j.jsat.2013.08.004" TargetMode="External" /><Relationship Type="http://schemas.openxmlformats.org/officeDocument/2006/relationships/hyperlink" Id="rId71" Target="https://doi.org/10.1037/abn0000901" TargetMode="External" /><Relationship Type="http://schemas.openxmlformats.org/officeDocument/2006/relationships/hyperlink" Id="rId80" Target="https://doi.org/10.1080/1533256X.2011.593445" TargetMode="External" /><Relationship Type="http://schemas.openxmlformats.org/officeDocument/2006/relationships/hyperlink" Id="rId63" Target="https://doi.org/10.1093/med-psych/9780190926717.003.0018" TargetMode="External" /><Relationship Type="http://schemas.openxmlformats.org/officeDocument/2006/relationships/hyperlink" Id="rId86" Target="https://doi.org/10.1145/3090051" TargetMode="External" /><Relationship Type="http://schemas.openxmlformats.org/officeDocument/2006/relationships/hyperlink" Id="rId67" Target="https://doi.org/10.1146/annurev-clinpsy-032816-044949" TargetMode="External" /><Relationship Type="http://schemas.openxmlformats.org/officeDocument/2006/relationships/hyperlink" Id="rId84" Target="https://doi.org/10.2147/PPA.S474535" TargetMode="External" /><Relationship Type="http://schemas.openxmlformats.org/officeDocument/2006/relationships/hyperlink" Id="rId88" Target="https://doi.org/10.2196/39862" TargetMode="External" /><Relationship Type="http://schemas.openxmlformats.org/officeDocument/2006/relationships/hyperlink" Id="rId76" Target="https://doi.org/10.2196/41833" TargetMode="External" /><Relationship Type="http://schemas.openxmlformats.org/officeDocument/2006/relationships/hyperlink" Id="rId74" Target="https://doi.org/10/gfsjzg" TargetMode="External" /><Relationship Type="http://schemas.openxmlformats.org/officeDocument/2006/relationships/hyperlink" Id="rId31"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3" Target="https://jjcurtin.github.io/study_messages/notebooks\mak_figures-preview.html#cell-fig-1" TargetMode="External" /><Relationship Type="http://schemas.openxmlformats.org/officeDocument/2006/relationships/hyperlink" Id="rId28" Target="https://jjcurtin.github.io/study_messages/notebooks\mak_tables-preview.html#cell-tbl-1" TargetMode="External" /><Relationship Type="http://schemas.openxmlformats.org/officeDocument/2006/relationships/hyperlink" Id="rId36"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8" Target="https://www.ncbi.nlm.nih.gov/pmc/articles/PMC2797101" TargetMode="External" /><Relationship Type="http://schemas.openxmlformats.org/officeDocument/2006/relationships/hyperlink" Id="rId82"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Precision Medicine, Machine learning, Digital Phenotyping, Relapse Prevention</cp:keywords>
  <dcterms:created xsi:type="dcterms:W3CDTF">2026-01-18T02:26:25Z</dcterms:created>
  <dcterms:modified xsi:type="dcterms:W3CDTF">2026-01-18T02:26:25Z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Objective: We evaluated a machine learning model predicting next-day alcohol lapse among individuals in early recovery from AUD using contextualized cellular communication data and baseline demographic and AUD characteristics. Methods: A total of 144 participants (49% male; mean age=40; 87% non-Hispanic White) with a goal of abstinence provided cellular communication data and alcohol use reports via a 4x daily EMA for up to three months. Models were trained and evaluated using repeated k-fold cross-validation. Results: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sage-vancouver.csl</vt:lpwstr>
  </property>
  <property fmtid="{D5CDD505-2E9C-101B-9397-08002B2CF9AE}" pid="11" name="date">
    <vt:lpwstr>2026-01-17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