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in capturing fluctuations in risk compared with self-report data (e.g., as they occur vs. prompting users to make reports the next day). Late night phonecalls could indicate an emergency,</w:t>
      </w:r>
      <w:r>
        <w:t xml:space="preserve"> </w:t>
      </w:r>
      <w:r>
        <w:t xml:space="preserve">“drunk dialing”</w:t>
      </w:r>
      <w:r>
        <w:t xml:space="preserve">, or other risk-relevant interactions. Cellular communications can also capture risk-relevant constructs more difficult for people to self report. A change in the number of unique contacts someone is interacting with could indicate an expanding or shrinking social circle.</w:t>
      </w:r>
    </w:p>
    <w:p>
      <w:pPr>
        <w:pStyle w:val="BodyText"/>
      </w:pPr>
      <w:r>
        <w:t xml:space="preserve">These passive data may become even more powerful when communications are contextualized with personal meaning for a given participant (e.g., Who is this contact to them? What is a typical interaction with them like?). In the above examples, contextualized communication data might reveal that the late-night phone call was to a sponsor, or that the shrinking social circle was due to reduced contact with people who are unsupportive of their recovery.</w:t>
      </w:r>
    </w:p>
    <w:p>
      <w:pPr>
        <w:pStyle w:val="BodyText"/>
      </w:pPr>
      <w:r>
        <w:t xml:space="preserve">In this study, we evaluated the performance of a machine learning model that predicts the probability of a next-day alcohol lapse amobg individuals in early recovery from AUD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2025-12-26T18:12:45Z</dcterms:created>
  <dcterms:modified xsi:type="dcterms:W3CDTF">2025-12-26T18:12:45Z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