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2026-04-17</w:t>
      </w:r>
    </w:p>
    <w:p>
      <w:pPr>
        <w:pStyle w:val="AbstractTitle"/>
      </w:pPr>
      <w:r>
        <w:t xml:space="preserve">Abstract</w:t>
      </w:r>
    </w:p>
    <w:p>
      <w:pPr>
        <w:pStyle w:val="Abstract"/>
      </w:pPr>
      <w:r>
        <w:t xml:space="preserve">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demographic and AUD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for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t xml:space="preserve"> </w:t>
      </w:r>
      <w: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identified via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drunk alcohol with a given contact, or whether that contact supports their recovery goals could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10"/>
    <w:bookmarkStart w:id="23"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[14]</w:t>
      </w:r>
      <w:r>
        <w:t xml:space="preserve"> </w:t>
      </w:r>
      <w:r>
        <w:t xml:space="preserve">in the supplement. Second, our features, labels, questionnaires, and other study materials are publicly available on our Open Science Framework (OSF) page (</w:t>
      </w:r>
      <w:hyperlink r:id="rId11">
        <w:r>
          <w:rPr>
            <w:rStyle w:val="Hyperlink"/>
          </w:rPr>
          <w:t xml:space="preserve">https://osf.io/wgpz9/</w:t>
        </w:r>
      </w:hyperlink>
      <w:r>
        <w:t xml:space="preserve">). Finally, the annotated analysis scripts are publicly available on our study website (</w:t>
      </w:r>
      <w:hyperlink r:id="rId12">
        <w:r>
          <w:rPr>
            <w:rStyle w:val="Hyperlink"/>
          </w:rPr>
          <w:t xml:space="preserve">https://jjcurtin.github.io/study_messages/</w:t>
        </w:r>
      </w:hyperlink>
      <w:r>
        <w:t xml:space="preserve">).</w:t>
      </w:r>
    </w:p>
    <w:bookmarkEnd w:id="13"/>
    <w:bookmarkStart w:id="14"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[15]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[16]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[17]</w:t>
      </w:r>
      <w:r>
        <w:t xml:space="preserve">, and psychiatric symptoms</w:t>
      </w:r>
      <w:r>
        <w:t xml:space="preserve"> </w:t>
      </w:r>
      <w:r>
        <w:t xml:space="preserve">[16,18]</w:t>
      </w:r>
      <w:r>
        <w:t xml:space="preserve">). At the intake visit, approximately two weeks after screening, we collected additional self-report data on abstinence self-efficacy</w:t>
      </w:r>
      <w:r>
        <w:t xml:space="preserve"> </w:t>
      </w:r>
      <w:r>
        <w:t xml:space="preserve">[19]</w:t>
      </w:r>
      <w:r>
        <w:t xml:space="preserve">, craving</w:t>
      </w:r>
      <w:r>
        <w:t xml:space="preserve"> </w:t>
      </w:r>
      <w:r>
        <w:t xml:space="preserve">[20]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4"/>
    <w:bookmarkStart w:id="15"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5"/>
    <w:bookmarkStart w:id="22" w:name="data-analysis-plan"/>
    <w:p>
      <w:pPr>
        <w:pStyle w:val="Heading2"/>
      </w:pPr>
      <w:r>
        <w:t xml:space="preserve">Data Analysis Plan</w:t>
      </w:r>
    </w:p>
    <w:bookmarkStart w:id="16"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6"/>
    <w:bookmarkStart w:id="19"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from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feature sets, feature engineering procedures, scoring epochs, and number of features. If no data was observed during a feature scoring epoch that feature was scored 0, thus there was no missing data across features. Other feature engineering steps performed during cross-validation included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17"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Total Number of Features, and Indication of Inclusion in Full and Baseline Models</w:t>
            </w:r>
          </w:p>
          <w:bookmarkEnd w:id="17"/>
        </w:tc>
      </w:tr>
    </w:tbl>
    <w:p>
      <w:pPr>
        <w:pStyle w:val="BodyText"/>
      </w:pPr>
      <w:r>
        <w:rPr>
          <w:vertAlign w:val="subscript"/>
        </w:rPr>
        <w:t xml:space="preserve">Source:</w:t>
      </w:r>
      <w:r>
        <w:rPr>
          <w:vertAlign w:val="subscript"/>
        </w:rPr>
        <w:t xml:space="preserve"> </w:t>
      </w:r>
      <w:hyperlink r:id="rId18">
        <w:r>
          <w:rPr>
            <w:rStyle w:val="Hyperlink"/>
            <w:vertAlign w:val="subscript"/>
          </w:rPr>
          <w:t xml:space="preserve">Make All Tables for Main Manuscript</w:t>
        </w:r>
      </w:hyperlink>
    </w:p>
    <w:bookmarkEnd w:id="19"/>
    <w:bookmarkStart w:id="20"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20"/>
    <w:bookmarkStart w:id="21" w:name="model-evaluation"/>
    <w:p>
      <w:pPr>
        <w:pStyle w:val="Heading3"/>
      </w:pPr>
      <w:r>
        <w:t xml:space="preserve">Model Evaluation</w:t>
      </w:r>
    </w:p>
    <w:p>
      <w:pPr>
        <w:pStyle w:val="FirstParagraph"/>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 Residual SD ~ normal(0, exp(2)); intercept (centered predictors) ~ normal(2.3, 1.3); window-width contrasts ~ normal(0, 2.69); covariance ~ decov(1,1,1,1). Random intercepts were included for repeat and fold (nested within repeat). auROCs were logit-transformed and regressed on model type to estimate the probability that model performances differed systematically.</w:t>
      </w:r>
    </w:p>
    <w:p>
      <w:pPr>
        <w:pStyle w:val="BodyText"/>
      </w:pPr>
      <w:r>
        <w:t xml:space="preserve">The best performing model used an elastic net algorithm. This model was refit on the entire data set to identify the most important features.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w:t>
      </w:r>
    </w:p>
    <w:bookmarkEnd w:id="21"/>
    <w:bookmarkEnd w:id="22"/>
    <w:bookmarkEnd w:id="23"/>
    <w:bookmarkStart w:id="34" w:name="results"/>
    <w:p>
      <w:pPr>
        <w:pStyle w:val="Heading1"/>
      </w:pPr>
      <w:r>
        <w:t xml:space="preserve">Results</w:t>
      </w:r>
    </w:p>
    <w:bookmarkStart w:id="26"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4"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All Tables for Main Manuscript</w:t>
        </w:r>
      </w:hyperlink>
    </w:p>
    <w:bookmarkEnd w:id="26"/>
    <w:bookmarkStart w:id="27"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7"/>
    <w:bookmarkStart w:id="33" w:name="model-evaluation-1"/>
    <w:p>
      <w:pPr>
        <w:pStyle w:val="Heading2"/>
      </w:pPr>
      <w:r>
        <w:t xml:space="preserve">Model Evaluation</w:t>
      </w:r>
    </w:p>
    <w:p>
      <w:pPr>
        <w:pStyle w:val="FirstParagraph"/>
      </w:pPr>
      <w:r>
        <w:t xml:space="preserve">The median posterior auROC for the best performing full model was 0.67, 95% CI [0.64, 0.71]. The final model fit on the full data set retained 10 features (left panel of</w:t>
      </w:r>
      <w:r>
        <w:t xml:space="preserve"> </w:t>
      </w:r>
      <w:hyperlink w:anchor="fig-1">
        <w:r>
          <w:rPr>
            <w:rStyle w:val="Hyperlink"/>
          </w:rPr>
          <w:t xml:space="preserve">Figure 1</w:t>
        </w:r>
      </w:hyperlink>
      <w:r>
        <w:t xml:space="preserve">). The top four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Specifically, frequency of communications with drinkers, friends, and people unaware of the individual’s recovery goals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0.69, 95% CI [0.65, 0.72]). However, this median difference in auROC was only .01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0.59. The 95% CI ([0.55, 0.62]) did not contain .5, providing evidence that the model is capturing some signal in the data.</w:t>
      </w:r>
      <w:r>
        <w:t xml:space="preserve"> </w:t>
      </w:r>
      <w:r>
        <w:t xml:space="preserve">To better understand which features are capturing this signal, we examined the retained features in the best cellular communication model fit on the full data set. This model retained four features: frequency of communications with friends, people unaware of the individual’s recovery goals, drinkers, and non-drinkers. These four features were also retained in the full model. In the right panel of</w:t>
      </w:r>
      <w:r>
        <w:t xml:space="preserve"> </w:t>
      </w:r>
      <w:hyperlink w:anchor="fig-1">
        <w:r>
          <w:rPr>
            <w:rStyle w:val="Hyperlink"/>
          </w:rPr>
          <w:t xml:space="preserve">Figure 1</w:t>
        </w:r>
      </w:hyperlink>
      <w:r>
        <w:t xml:space="preserve"> </w:t>
      </w:r>
      <w:r>
        <w:t xml:space="preserve">we display the magnitude of the coefficients for these features when the model does not control for other retained baseline measures.</w:t>
      </w:r>
    </w:p>
    <w:tbl>
      <w:tblPr>
        <w:tblStyle w:val="Table"/>
        <w:tblW w:type="pct" w:w="5000"/>
        <w:tblLayout w:type="fixed"/>
        <w:tblLook w:firstRow="0" w:lastRow="0" w:firstColumn="0" w:lastColumn="0" w:noHBand="0" w:noVBand="0" w:val="0000"/>
      </w:tblPr>
      <w:tblGrid>
        <w:gridCol w:w="7920"/>
      </w:tblGrid>
      <w:tr>
        <w:tc>
          <w:tcPr/>
          <w:bookmarkStart w:id="31" w:name="fig-1"/>
          <w:p>
            <w:pPr>
              <w:pStyle w:val="Compact"/>
              <w:jc w:val="center"/>
            </w:pPr>
            <w:r>
              <w:drawing>
                <wp:inline>
                  <wp:extent cx="5334000" cy="2667000"/>
                  <wp:effectExtent b="0" l="0" r="0" t="0"/>
                  <wp:docPr descr="" title="" id="29" name="Picture"/>
                  <a:graphic>
                    <a:graphicData uri="http://schemas.openxmlformats.org/drawingml/2006/picture">
                      <pic:pic>
                        <pic:nvPicPr>
                          <pic:cNvPr descr="index_files/figure-docx/notebooks-mak_figures-fig-1-output-1.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and cellular communicatioin models.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1"/>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Make All Figures for Main Manuscript</w:t>
        </w:r>
      </w:hyperlink>
    </w:p>
    <w:bookmarkEnd w:id="33"/>
    <w:bookmarkEnd w:id="34"/>
    <w:bookmarkStart w:id="35"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[21]</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[22]</w:t>
      </w:r>
      <w:r>
        <w:t xml:space="preserve"> </w:t>
      </w:r>
      <w:r>
        <w:t xml:space="preserve">and predict future</w:t>
      </w:r>
      <w:r>
        <w:t xml:space="preserve"> </w:t>
      </w:r>
      <w:r>
        <w:t xml:space="preserve">[23]</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5"/>
    <w:bookmarkStart w:id="36" w:name="acknowledgments"/>
    <w:p>
      <w:pPr>
        <w:pStyle w:val="Heading1"/>
      </w:pPr>
      <w:r>
        <w:t xml:space="preserve">Acknowledgments</w:t>
      </w:r>
    </w:p>
    <w:p>
      <w:pPr>
        <w:pStyle w:val="FirstParagraph"/>
      </w:pPr>
      <w:r>
        <w:t xml:space="preserve">The authors wish to thank Susan E. Wanta for her role as the project administrator.</w:t>
      </w:r>
    </w:p>
    <w:bookmarkEnd w:id="36"/>
    <w:bookmarkStart w:id="37"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7"/>
    <w:bookmarkStart w:id="38"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8"/>
    <w:bookmarkStart w:id="39"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9"/>
    <w:bookmarkStart w:id="40"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40"/>
    <w:bookmarkStart w:id="82" w:name="references"/>
    <w:p>
      <w:pPr>
        <w:pStyle w:val="Heading1"/>
      </w:pPr>
      <w:r>
        <w:t xml:space="preserve">References</w:t>
      </w:r>
    </w:p>
    <w:bookmarkStart w:id="81" w:name="refs"/>
    <w:bookmarkStart w:id="42"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1">
        <w:r>
          <w:rPr>
            <w:rStyle w:val="Hyperlink"/>
          </w:rPr>
          <w:t xml:space="preserve">10.1001/jama.284.13.1689</w:t>
        </w:r>
      </w:hyperlink>
    </w:p>
    <w:bookmarkEnd w:id="42"/>
    <w:bookmarkStart w:id="44" w:name="ref-dennisManagingAddictionChronic2007"/>
    <w:p>
      <w:pPr>
        <w:pStyle w:val="Bibliography"/>
      </w:pPr>
      <w:r>
        <w:t xml:space="preserve">2.</w:t>
      </w:r>
      <w:r>
        <w:t xml:space="preserve"> </w:t>
      </w:r>
      <w:r>
        <w:t xml:space="preserve">	</w:t>
      </w:r>
      <w:r>
        <w:t xml:space="preserve">Dennis M, Scott CK.</w:t>
      </w:r>
      <w:r>
        <w:t xml:space="preserve"> </w:t>
      </w:r>
      <w:hyperlink r:id="rId43">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4"/>
    <w:bookmarkStart w:id="45"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5"/>
    <w:bookmarkStart w:id="46"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6"/>
    <w:bookmarkStart w:id="47"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7"/>
    <w:bookmarkStart w:id="49"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8">
        <w:r>
          <w:rPr>
            <w:rStyle w:val="Hyperlink"/>
          </w:rPr>
          <w:t xml:space="preserve">10.1093/med-psych/9780190926717.003.0018</w:t>
        </w:r>
      </w:hyperlink>
    </w:p>
    <w:bookmarkEnd w:id="49"/>
    <w:bookmarkStart w:id="51"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50">
        <w:r>
          <w:rPr>
            <w:rStyle w:val="Hyperlink"/>
          </w:rPr>
          <w:t xml:space="preserve">10.1007/978-3-030-56958-7_6</w:t>
        </w:r>
      </w:hyperlink>
    </w:p>
    <w:bookmarkEnd w:id="51"/>
    <w:bookmarkStart w:id="53"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2">
        <w:r>
          <w:rPr>
            <w:rStyle w:val="Hyperlink"/>
          </w:rPr>
          <w:t xml:space="preserve">10.1146/annurev-clinpsy-032816-044949</w:t>
        </w:r>
      </w:hyperlink>
    </w:p>
    <w:bookmarkEnd w:id="53"/>
    <w:bookmarkStart w:id="55"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4">
        <w:r>
          <w:rPr>
            <w:rStyle w:val="Hyperlink"/>
          </w:rPr>
          <w:t xml:space="preserve">10.1016/j.jsat.2013.08.004</w:t>
        </w:r>
      </w:hyperlink>
    </w:p>
    <w:bookmarkEnd w:id="55"/>
    <w:bookmarkStart w:id="57"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6">
        <w:r>
          <w:rPr>
            <w:rStyle w:val="Hyperlink"/>
          </w:rPr>
          <w:t xml:space="preserve">10.1037/abn0000901</w:t>
        </w:r>
      </w:hyperlink>
    </w:p>
    <w:bookmarkEnd w:id="57"/>
    <w:bookmarkStart w:id="58"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8"/>
    <w:bookmarkStart w:id="60"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9">
        <w:r>
          <w:rPr>
            <w:rStyle w:val="Hyperlink"/>
          </w:rPr>
          <w:t xml:space="preserve">10/gfsjzg</w:t>
        </w:r>
      </w:hyperlink>
    </w:p>
    <w:bookmarkEnd w:id="60"/>
    <w:bookmarkStart w:id="62"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1">
        <w:r>
          <w:rPr>
            <w:rStyle w:val="Hyperlink"/>
          </w:rPr>
          <w:t xml:space="preserve">10.2196/41833</w:t>
        </w:r>
      </w:hyperlink>
    </w:p>
    <w:bookmarkEnd w:id="62"/>
    <w:bookmarkStart w:id="64" w:name="X126aebe61d5329fdf5f31356b05d81ee3379203"/>
    <w:p>
      <w:pPr>
        <w:pStyle w:val="Bibliography"/>
      </w:pPr>
      <w:r>
        <w:t xml:space="preserve">14.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63">
        <w:r>
          <w:rPr>
            <w:rStyle w:val="Hyperlink"/>
          </w:rPr>
          <w:t xml:space="preserve">10.1038/s41562-019-0772-6</w:t>
        </w:r>
      </w:hyperlink>
    </w:p>
    <w:bookmarkEnd w:id="64"/>
    <w:bookmarkStart w:id="65" w:name="ref-hsiehSampleSizeTables1989"/>
    <w:p>
      <w:pPr>
        <w:pStyle w:val="Bibliography"/>
      </w:pPr>
      <w:r>
        <w:t xml:space="preserve">15.</w:t>
      </w:r>
      <w:r>
        <w:t xml:space="preserve"> </w:t>
      </w:r>
      <w:r>
        <w:t xml:space="preserve">	</w:t>
      </w:r>
      <w:r>
        <w:t xml:space="preserve">Hsieh F. Sample size tables for logistic regression. Statistics in Medicine. 1989;8: 795–802.</w:t>
      </w:r>
      <w:r>
        <w:t xml:space="preserve"> </w:t>
      </w:r>
    </w:p>
    <w:bookmarkEnd w:id="65"/>
    <w:bookmarkStart w:id="66" w:name="ref-derogatislBriefSymptomInventory"/>
    <w:p>
      <w:pPr>
        <w:pStyle w:val="Bibliography"/>
      </w:pPr>
      <w:r>
        <w:t xml:space="preserve">16.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66"/>
    <w:bookmarkStart w:id="68" w:name="X88039606d7b5c64f85ee8ea71703c6bdc3d9351"/>
    <w:p>
      <w:pPr>
        <w:pStyle w:val="Bibliography"/>
      </w:pPr>
      <w:r>
        <w:t xml:space="preserve">17.</w:t>
      </w:r>
      <w:r>
        <w:t xml:space="preserve"> </w:t>
      </w:r>
      <w:r>
        <w:t xml:space="preserve">	</w:t>
      </w:r>
      <w:r>
        <w:t xml:space="preserve">Patrick CJ, Curtin JJ, Tellegen A.</w:t>
      </w:r>
      <w:r>
        <w:t xml:space="preserve"> </w:t>
      </w:r>
      <w:hyperlink r:id="rId67">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68"/>
    <w:bookmarkStart w:id="70" w:name="X7237f3e8ec0394639ac33af78d4502788e325cb"/>
    <w:p>
      <w:pPr>
        <w:pStyle w:val="Bibliography"/>
      </w:pPr>
      <w:r>
        <w:t xml:space="preserve">18.</w:t>
      </w:r>
      <w:r>
        <w:t xml:space="preserve"> </w:t>
      </w:r>
      <w:r>
        <w:t xml:space="preserve">	</w:t>
      </w:r>
      <w:r>
        <w:t xml:space="preserve">Lovibond PF, Lovibond SH.</w:t>
      </w:r>
      <w:r>
        <w:t xml:space="preserve"> </w:t>
      </w:r>
      <w:hyperlink r:id="rId69">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70"/>
    <w:bookmarkStart w:id="72" w:name="Xcae8ce16b0973d3f8a23c89fe6ee90c012f333c"/>
    <w:p>
      <w:pPr>
        <w:pStyle w:val="Bibliography"/>
      </w:pPr>
      <w:r>
        <w:t xml:space="preserve">19.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71">
        <w:r>
          <w:rPr>
            <w:rStyle w:val="Hyperlink"/>
          </w:rPr>
          <w:t xml:space="preserve">10.1080/1533256X.2011.593445</w:t>
        </w:r>
      </w:hyperlink>
    </w:p>
    <w:bookmarkEnd w:id="72"/>
    <w:bookmarkStart w:id="74" w:name="X72fdb242290119aefa439c46cdcc18630f6c0fa"/>
    <w:p>
      <w:pPr>
        <w:pStyle w:val="Bibliography"/>
      </w:pPr>
      <w:r>
        <w:t xml:space="preserve">20.</w:t>
      </w:r>
      <w:r>
        <w:t xml:space="preserve"> </w:t>
      </w:r>
      <w:r>
        <w:t xml:space="preserve">	</w:t>
      </w:r>
      <w:r>
        <w:t xml:space="preserve">Flannery BA, Volpicelli JR, Pettinati HM.</w:t>
      </w:r>
      <w:r>
        <w:t xml:space="preserve"> </w:t>
      </w:r>
      <w:hyperlink r:id="rId73">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74"/>
    <w:bookmarkStart w:id="76" w:name="X948b064f539498125570f43a275c11fe3804a5f"/>
    <w:p>
      <w:pPr>
        <w:pStyle w:val="Bibliography"/>
      </w:pPr>
      <w:r>
        <w:t xml:space="preserve">21.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75">
        <w:r>
          <w:rPr>
            <w:rStyle w:val="Hyperlink"/>
          </w:rPr>
          <w:t xml:space="preserve">10.2147/PPA.S474535</w:t>
        </w:r>
      </w:hyperlink>
    </w:p>
    <w:bookmarkEnd w:id="76"/>
    <w:bookmarkStart w:id="78" w:name="ref-baeDetectingDrinkingEpisodes2017"/>
    <w:p>
      <w:pPr>
        <w:pStyle w:val="Bibliography"/>
      </w:pPr>
      <w:r>
        <w:t xml:space="preserve">22.</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77">
        <w:r>
          <w:rPr>
            <w:rStyle w:val="Hyperlink"/>
          </w:rPr>
          <w:t xml:space="preserve">10.1145/3090051</w:t>
        </w:r>
      </w:hyperlink>
    </w:p>
    <w:bookmarkEnd w:id="78"/>
    <w:bookmarkStart w:id="80" w:name="ref-baeLeveragingMobilePhone2023"/>
    <w:p>
      <w:pPr>
        <w:pStyle w:val="Bibliography"/>
      </w:pPr>
      <w:r>
        <w:t xml:space="preserve">23.</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79">
        <w:r>
          <w:rPr>
            <w:rStyle w:val="Hyperlink"/>
          </w:rPr>
          <w:t xml:space="preserve">10.2196/39862</w:t>
        </w:r>
      </w:hyperlink>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41"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54" Target="https://doi.org/10.1016/j.jsat.2013.08.004" TargetMode="External" /><Relationship Type="http://schemas.openxmlformats.org/officeDocument/2006/relationships/hyperlink" Id="rId56" Target="https://doi.org/10.1037/abn0000901" TargetMode="External" /><Relationship Type="http://schemas.openxmlformats.org/officeDocument/2006/relationships/hyperlink" Id="rId63" Target="https://doi.org/10.1038/s41562-019-0772-6" TargetMode="External" /><Relationship Type="http://schemas.openxmlformats.org/officeDocument/2006/relationships/hyperlink" Id="rId71" Target="https://doi.org/10.1080/1533256X.2011.593445" TargetMode="External" /><Relationship Type="http://schemas.openxmlformats.org/officeDocument/2006/relationships/hyperlink" Id="rId48" Target="https://doi.org/10.1093/med-psych/9780190926717.003.0018" TargetMode="External" /><Relationship Type="http://schemas.openxmlformats.org/officeDocument/2006/relationships/hyperlink" Id="rId77" Target="https://doi.org/10.1145/3090051" TargetMode="External" /><Relationship Type="http://schemas.openxmlformats.org/officeDocument/2006/relationships/hyperlink" Id="rId52" Target="https://doi.org/10.1146/annurev-clinpsy-032816-044949" TargetMode="External" /><Relationship Type="http://schemas.openxmlformats.org/officeDocument/2006/relationships/hyperlink" Id="rId75" Target="https://doi.org/10.2147/PPA.S474535" TargetMode="External" /><Relationship Type="http://schemas.openxmlformats.org/officeDocument/2006/relationships/hyperlink" Id="rId79" Target="https://doi.org/10.2196/39862" TargetMode="External" /><Relationship Type="http://schemas.openxmlformats.org/officeDocument/2006/relationships/hyperlink" Id="rId61" Target="https://doi.org/10.2196/41833" TargetMode="External" /><Relationship Type="http://schemas.openxmlformats.org/officeDocument/2006/relationships/hyperlink" Id="rId59" Target="https://doi.org/10/gfsjzg" TargetMode="External" /><Relationship Type="http://schemas.openxmlformats.org/officeDocument/2006/relationships/hyperlink" Id="rId12" Target="https://jjcurtin.github.io/study_messages/" TargetMode="External" /><Relationship Type="http://schemas.openxmlformats.org/officeDocument/2006/relationships/hyperlink" Id="rId9" Target="https://jjcurtin.github.io/study_messages/index-preview.html" TargetMode="External" /><Relationship Type="http://schemas.openxmlformats.org/officeDocument/2006/relationships/hyperlink" Id="rId32" Target="https://jjcurtin.github.io/study_messages/notebooks\mak_figures-preview.html#cell-fig-1" TargetMode="External" /><Relationship Type="http://schemas.openxmlformats.org/officeDocument/2006/relationships/hyperlink" Id="rId18" Target="https://jjcurtin.github.io/study_messages/notebooks\mak_tables-preview.html#cell-tbl-1" TargetMode="External" /><Relationship Type="http://schemas.openxmlformats.org/officeDocument/2006/relationships/hyperlink" Id="rId25"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3" Target="https://www.ncbi.nlm.nih.gov/pmc/articles/PMC2797101" TargetMode="External" /><Relationship Type="http://schemas.openxmlformats.org/officeDocument/2006/relationships/hyperlink" Id="rId73" Target="https://www.ncbi.nlm.nih.gov/pubmed/10470970" TargetMode="External" /><Relationship Type="http://schemas.openxmlformats.org/officeDocument/2006/relationships/hyperlink" Id="rId67" Target="https://www.ncbi.nlm.nih.gov/pubmed/12056077" TargetMode="External" /><Relationship Type="http://schemas.openxmlformats.org/officeDocument/2006/relationships/hyperlink" Id="rId69"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54" Target="https://doi.org/10.1016/j.jsat.2013.08.004" TargetMode="External" /><Relationship Type="http://schemas.openxmlformats.org/officeDocument/2006/relationships/hyperlink" Id="rId56" Target="https://doi.org/10.1037/abn0000901" TargetMode="External" /><Relationship Type="http://schemas.openxmlformats.org/officeDocument/2006/relationships/hyperlink" Id="rId63" Target="https://doi.org/10.1038/s41562-019-0772-6" TargetMode="External" /><Relationship Type="http://schemas.openxmlformats.org/officeDocument/2006/relationships/hyperlink" Id="rId71" Target="https://doi.org/10.1080/1533256X.2011.593445" TargetMode="External" /><Relationship Type="http://schemas.openxmlformats.org/officeDocument/2006/relationships/hyperlink" Id="rId48" Target="https://doi.org/10.1093/med-psych/9780190926717.003.0018" TargetMode="External" /><Relationship Type="http://schemas.openxmlformats.org/officeDocument/2006/relationships/hyperlink" Id="rId77" Target="https://doi.org/10.1145/3090051" TargetMode="External" /><Relationship Type="http://schemas.openxmlformats.org/officeDocument/2006/relationships/hyperlink" Id="rId52" Target="https://doi.org/10.1146/annurev-clinpsy-032816-044949" TargetMode="External" /><Relationship Type="http://schemas.openxmlformats.org/officeDocument/2006/relationships/hyperlink" Id="rId75" Target="https://doi.org/10.2147/PPA.S474535" TargetMode="External" /><Relationship Type="http://schemas.openxmlformats.org/officeDocument/2006/relationships/hyperlink" Id="rId79" Target="https://doi.org/10.2196/39862" TargetMode="External" /><Relationship Type="http://schemas.openxmlformats.org/officeDocument/2006/relationships/hyperlink" Id="rId61" Target="https://doi.org/10.2196/41833" TargetMode="External" /><Relationship Type="http://schemas.openxmlformats.org/officeDocument/2006/relationships/hyperlink" Id="rId59" Target="https://doi.org/10/gfsjzg" TargetMode="External" /><Relationship Type="http://schemas.openxmlformats.org/officeDocument/2006/relationships/hyperlink" Id="rId12" Target="https://jjcurtin.github.io/study_messages/" TargetMode="External" /><Relationship Type="http://schemas.openxmlformats.org/officeDocument/2006/relationships/hyperlink" Id="rId9" Target="https://jjcurtin.github.io/study_messages/index-preview.html" TargetMode="External" /><Relationship Type="http://schemas.openxmlformats.org/officeDocument/2006/relationships/hyperlink" Id="rId32" Target="https://jjcurtin.github.io/study_messages/notebooks\mak_figures-preview.html#cell-fig-1" TargetMode="External" /><Relationship Type="http://schemas.openxmlformats.org/officeDocument/2006/relationships/hyperlink" Id="rId18" Target="https://jjcurtin.github.io/study_messages/notebooks\mak_tables-preview.html#cell-tbl-1" TargetMode="External" /><Relationship Type="http://schemas.openxmlformats.org/officeDocument/2006/relationships/hyperlink" Id="rId25"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3" Target="https://www.ncbi.nlm.nih.gov/pmc/articles/PMC2797101" TargetMode="External" /><Relationship Type="http://schemas.openxmlformats.org/officeDocument/2006/relationships/hyperlink" Id="rId73" Target="https://www.ncbi.nlm.nih.gov/pubmed/10470970" TargetMode="External" /><Relationship Type="http://schemas.openxmlformats.org/officeDocument/2006/relationships/hyperlink" Id="rId67" Target="https://www.ncbi.nlm.nih.gov/pubmed/12056077" TargetMode="External" /><Relationship Type="http://schemas.openxmlformats.org/officeDocument/2006/relationships/hyperlink" Id="rId69"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2026-04-17T23:06:10Z</dcterms:created>
  <dcterms:modified xsi:type="dcterms:W3CDTF">2026-04-17T23:06:10Z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demographic and AUD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2026-04-17</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