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self-report sensing method. EMA has been shown to be well-tolerated among substance use populations over relatively short periods of time</w:t>
      </w:r>
      <w:r>
        <w:t xml:space="preserve"> </w:t>
      </w:r>
      <w:r>
        <w:t xml:space="preserve">(Wyant et al., 2023;</w:t>
      </w:r>
      <w:r>
        <w:t xml:space="preserve"> </w:t>
      </w:r>
      <w:r>
        <w:rPr>
          <w:b/>
          <w:bCs/>
        </w:rPr>
        <w:t xml:space="preserve">jonesComplianceEcologicalMomentary2019?</w:t>
      </w:r>
      <w:r>
        <w:t xml:space="preserve">)</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alterntive precipitators of lapse not yet discovered due to small subtle changes in one’s environment, social circle, or lifestyle that can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7"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However, even in these instances, the unique contribution of cellular communications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6"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2">
        <w:r>
          <w:rPr>
            <w:rStyle w:val="Hyperlink"/>
          </w:rPr>
          <w:t xml:space="preserve">https://doi.org/10.2196/41833</w:t>
        </w:r>
      </w:hyperlink>
    </w:p>
    <w:bookmarkEnd w:id="73"/>
    <w:bookmarkStart w:id="75"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4">
        <w:r>
          <w:rPr>
            <w:rStyle w:val="Hyperlink"/>
          </w:rPr>
          <w:t xml:space="preserve">https://doi.org/10.1037/abn0000901</w:t>
        </w:r>
      </w:hyperlink>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4"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2" Target="https://doi.org/10.2196/41833"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4"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2" Target="https://doi.org/10.2196/41833"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2026-01-12T02:12:10Z</dcterms:created>
  <dcterms:modified xsi:type="dcterms:W3CDTF">2026-01-12T02:12:10Z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