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Evaluating Cellular Communication Sensing for Lapse Risk Prediction During Early Recovery from Alcohol Use Disorder</w:t>
      </w:r>
    </w:p>
    <w:p>
      <w:pPr>
        <w:pStyle w:val="Author"/>
      </w:pPr>
      <w:r>
        <w:t xml:space="preserve">Kendra Wyant</w:t>
      </w:r>
    </w:p>
    <w:p>
      <w:pPr>
        <w:pStyle w:val="Author"/>
      </w:pPr>
      <w:r>
        <w:t xml:space="preserve">Jiachen Yu</w:t>
      </w:r>
    </w:p>
    <w:p>
      <w:pPr>
        <w:pStyle w:val="Author"/>
      </w:pPr>
      <w:r>
        <w:t xml:space="preserve">John J. Curtin</w:t>
      </w:r>
    </w:p>
    <w:p>
      <w:pPr>
        <w:pStyle w:val="Date"/>
      </w:pPr>
      <w:r>
        <w:t xml:space="preserve">2026-04-17</w:t>
      </w:r>
    </w:p>
    <w:p>
      <w:pPr>
        <w:pStyle w:val="AbstractTitle"/>
      </w:pPr>
      <w:r>
        <w:t xml:space="preserve">Abstract</w:t>
      </w:r>
    </w:p>
    <w:p>
      <w:pPr>
        <w:pStyle w:val="Abstract"/>
      </w:pPr>
      <w:r>
        <w:t xml:space="preserve">Alcohol Use Disorder (AUD) is a chronic, relapsing disease. An automated recovery support system using personal sensing and machine learning may help identify when individuals are at elevated lapse risk. Cellular communication sensing may detect dynamic changes in lapse risk and can be contextualized with self-reported, risk-relevant information about contacts. We evaluated a machine learning model predicting next-day alcohol lapse among individuals in early recovery from AUD using contextualized cellular communication data and baseline alcohol use, demographic, and psychiatric and personality characteristics. A total of 144 participants (49% male; mean age=40; 87% non-Hispanic White) with a goal of abstinence provided cellular communication data and alcohol use reports via a 4x daily EMA for up to three months. Models were trained and evaluated using repeated k-fold cross-validation. The best-performing full model used an elastic net algorithm and retained 10 features (median posterior auROC=0.67, 95% Bayesian credible interval (CI; [0.64, 0.71]). A comparison model including only baseline features demonstrated comparable performance (median auROC=0.69, 95% CI [0.65, 0.72]). Cellular communication features on their own performed poorly, but still above chance performance (median auROC=0.59, 95% CI [0.55, 0.62]). These findings demonstrate that cellular communication data capture some risk-relevant signal for alcohol lapse but do not provide incremental predictive value beyond baseline measures. Several communication features were retained in the final model with moderately sized coefficients, suggesting that aspects of social communication may be important for understanding lapse risk. Although, limitations inherent to cellular communication as a sensing method may outweigh their added value.</w:t>
      </w:r>
    </w:p>
    <w:p>
      <w:pPr>
        <w:pStyle w:val="FirstParagraph"/>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Start w:id="10" w:name="introduction"/>
    <w:p>
      <w:pPr>
        <w:pStyle w:val="Heading1"/>
      </w:pPr>
      <w:r>
        <w:t xml:space="preserve">Introduction</w:t>
      </w:r>
    </w:p>
    <w:p>
      <w:pPr>
        <w:pStyle w:val="FirstParagraph"/>
      </w:pPr>
      <w:r>
        <w:t xml:space="preserve">Alcohol Use Disorder (AUD) is a chronic, relapsing disease</w:t>
      </w:r>
      <w:r>
        <w:t xml:space="preserve"> </w:t>
      </w:r>
      <w:r>
        <w:t xml:space="preserve">[1–3]</w:t>
      </w:r>
      <w:r>
        <w:t xml:space="preserve">. Lapses, single episodes of alcohol use, are among the strongest predictors (and a necessary precursor) for relapse, a full return to harmful drinking</w:t>
      </w:r>
      <w:r>
        <w:t xml:space="preserve"> </w:t>
      </w:r>
      <w:r>
        <w:t xml:space="preserve">[4,5]</w:t>
      </w:r>
      <w:r>
        <w:t xml:space="preserve">. While lapses can occur at any point in recovery, they are particularly risky during early recovery</w:t>
      </w:r>
      <w:r>
        <w:t xml:space="preserve"> </w:t>
      </w:r>
      <w:r>
        <w:t xml:space="preserve">[6]</w:t>
      </w:r>
      <w:r>
        <w:t xml:space="preserve">. Protective coping mechanisms and socio-environmental resources that support recovery are dynamic and accumulate over time</w:t>
      </w:r>
      <w:r>
        <w:t xml:space="preserve"> </w:t>
      </w:r>
      <w:r>
        <w:t xml:space="preserve">[7]</w:t>
      </w:r>
      <w:r>
        <w:t xml:space="preserve">. As a result, early recovery represents a critical window of vulnerability during which a lapse is more likely to escalate into relapse.</w:t>
      </w:r>
    </w:p>
    <w:p>
      <w:pPr>
        <w:pStyle w:val="BodyText"/>
      </w:pPr>
      <w:r>
        <w:t xml:space="preserve">An automated recovery support system powered by personal sensing and machine learning may assist with the inherently difficult task of identifying when and why someone is at increased risk for lapse. Personal sensing of densely sampled data from individuals’ day-to-day lives can provide the inputs necessary for temporally dynamic lapse predictions</w:t>
      </w:r>
      <w:r>
        <w:t xml:space="preserve"> </w:t>
      </w:r>
      <w:r>
        <w:t xml:space="preserve">[8]</w:t>
      </w:r>
      <w:r>
        <w:t xml:space="preserve">. Early machine learning models using ecological momentary assessment (EMA) data have achieved excellent accuracy in predicting future lapses back to alcohol use in treatment seeking populations</w:t>
      </w:r>
      <w:r>
        <w:t xml:space="preserve"> </w:t>
      </w:r>
      <w:r>
        <w:t xml:space="preserve">[9–11]</w:t>
      </w:r>
      <w:r>
        <w:t xml:space="preserve">.</w:t>
      </w:r>
    </w:p>
    <w:p>
      <w:pPr>
        <w:pStyle w:val="BodyText"/>
      </w:pPr>
      <w:r>
        <w:t xml:space="preserve">Despite the high predictive success of EMA, questions remain about the long-term feasibility of a self-report sensing method. EMA has been shown to be well-tolerated among substance use populations over relatively short periods of time</w:t>
      </w:r>
      <w:r>
        <w:t xml:space="preserve"> </w:t>
      </w:r>
      <w:r>
        <w:t xml:space="preserve">[12,13]</w:t>
      </w:r>
      <w:r>
        <w:t xml:space="preserve">. It is unclear whether individuals would be willing and able to adhere to an extensive EMA protocol (e.g., 4 prompts per day) indefinitely. Moreover, EMA items are chosen using domain expertise from decades of research on the self-report factors that predict lapse. It is possible, however, that there are several alternative precipitators of lapse not yet discovered due to small subtle changes in one’s environment, social circle, or lifestyle that cannot be easily identified via self-report.</w:t>
      </w:r>
    </w:p>
    <w:p>
      <w:pPr>
        <w:pStyle w:val="BodyText"/>
      </w:pPr>
      <w:r>
        <w:t xml:space="preserve">Cellular communication sensing may be a promising alternative to EMA. Whereas EMA is limited to, at most, several assessments per day, communication sensing is mostly passive and can be monitored moment-by-moment. Cellular communication patterns capture clear, risk-relevant constructs. Late-night phone calls could indicate an emergency, “drunk dialing,” or interpersonal conflict. A decrease in the number of contacts an individual communicates with could reflect a shrinking social circle, isolation, or disengagement. Furthermore, cellular communication sensing enables data-driven feature engineering, whereby features are systematically derived from raw communication logs and retained based on their predictive utility rather than a priori theoretical assumptions.</w:t>
      </w:r>
    </w:p>
    <w:p>
      <w:pPr>
        <w:pStyle w:val="BodyText"/>
      </w:pPr>
      <w:r>
        <w:t xml:space="preserve">These data may become even more powerful when communication patterns are contextualized with participant-specific meaning. For instance, knowing a participant’s relationship to their contacts, whether they have previously drunk alcohol with a given contact, or whether that contact supports their recovery goals could alter interpretation. In the examples above, contextualized communication data might reveal that the late-night calls are made to a sponsor, or that a shrinking social circle reflects reduced contact with individuals unsupportive of their recovery. In this way, the same communication patterns may reflect protective processes rather than increased lapse risk.</w:t>
      </w:r>
    </w:p>
    <w:p>
      <w:pPr>
        <w:pStyle w:val="BodyText"/>
      </w:pPr>
      <w:r>
        <w:t xml:space="preserve">In this study, we assessed whether contextualized cellular communication features contain clinically meaningful signals for predicting next-day alcohol lapse risk among individuals in early recovery from AUD. Using a machine learning model, we evaluated the predictive utility of these features and identified the most important communication features, with the goal of uncovering new, clinically meaningful predictors of lapse risk.</w:t>
      </w:r>
    </w:p>
    <w:bookmarkEnd w:id="10"/>
    <w:bookmarkStart w:id="23" w:name="methods"/>
    <w:p>
      <w:pPr>
        <w:pStyle w:val="Heading1"/>
      </w:pPr>
      <w:r>
        <w:t xml:space="preserve">Methods</w:t>
      </w:r>
    </w:p>
    <w:bookmarkStart w:id="13" w:name="transparency-and-openness"/>
    <w:p>
      <w:pPr>
        <w:pStyle w:val="Heading2"/>
      </w:pPr>
      <w:r>
        <w:t xml:space="preserve">Transparency and Openness</w:t>
      </w:r>
    </w:p>
    <w:p>
      <w:pPr>
        <w:pStyle w:val="FirstParagraph"/>
      </w:pPr>
      <w:r>
        <w:t xml:space="preserve">We adhere to research transparency principles that are crucial for robust and replicable science. First, we reported how we determined the sample size, all data exclusions, all manipulations, and all study measures. We provide a transparency checklist</w:t>
      </w:r>
      <w:r>
        <w:t xml:space="preserve"> </w:t>
      </w:r>
      <w:r>
        <w:t xml:space="preserve">[14]</w:t>
      </w:r>
      <w:r>
        <w:t xml:space="preserve"> </w:t>
      </w:r>
      <w:r>
        <w:t xml:space="preserve">in the supplement. Second, our features, labels, questionnaires, and other study materials are publicly available on our Open Science Framework (OSF) page (</w:t>
      </w:r>
      <w:hyperlink r:id="rId11">
        <w:r>
          <w:rPr>
            <w:rStyle w:val="Hyperlink"/>
          </w:rPr>
          <w:t xml:space="preserve">https://osf.io/wgpz9/</w:t>
        </w:r>
      </w:hyperlink>
      <w:r>
        <w:t xml:space="preserve">). Finally, the annotated analysis scripts are publicly available on our study website (</w:t>
      </w:r>
      <w:hyperlink r:id="rId12">
        <w:r>
          <w:rPr>
            <w:rStyle w:val="Hyperlink"/>
          </w:rPr>
          <w:t xml:space="preserve">https://jjcurtin.github.io/study_messages/</w:t>
        </w:r>
      </w:hyperlink>
      <w:r>
        <w:t xml:space="preserve">).</w:t>
      </w:r>
    </w:p>
    <w:bookmarkEnd w:id="13"/>
    <w:bookmarkStart w:id="14" w:name="participants-and-procedure"/>
    <w:p>
      <w:pPr>
        <w:pStyle w:val="Heading2"/>
      </w:pPr>
      <w:r>
        <w:t xml:space="preserve">Participants and Procedure</w:t>
      </w:r>
    </w:p>
    <w:p>
      <w:pPr>
        <w:pStyle w:val="FirstParagraph"/>
      </w:pPr>
      <w:r>
        <w:t xml:space="preserve">We recruited 192 adults in early recovery from AUD in Madison, Wisconsin, USA through print and digital advertisements and partnerships with treatment centers from February 15, 2017 through September 19, 2019. This sample size was determined based on traditional power analysis methods for logistic regression</w:t>
      </w:r>
      <w:r>
        <w:t xml:space="preserve"> </w:t>
      </w:r>
      <w:r>
        <w:t xml:space="preserve">[15]</w:t>
      </w:r>
      <w:r>
        <w:t xml:space="preserve"> </w:t>
      </w:r>
      <w:r>
        <w:t xml:space="preserve">because comparable approaches for machine learning models have not yet been validated. Eligibility criteria required that participants were age 18 or older, able to read and write in English, had moderate to severe AUD (≥4 self-reported DSM-5 symptoms), had a goal of abstinence from alcohol at the time of the screening visit, had been abstinent for 1–8 weeks, were willing to use a single smartphone, and were not exhibiting severe psychosis or paranoia (defined as scores &gt;2.2 or 2.8, respectively, on the psychosis or paranoia scales of the Symptom Checklist–90</w:t>
      </w:r>
      <w:r>
        <w:t xml:space="preserve"> </w:t>
      </w:r>
      <w:r>
        <w:t xml:space="preserve">[16]</w:t>
      </w:r>
      <w:r>
        <w:t xml:space="preserve">.)</w:t>
      </w:r>
    </w:p>
    <w:p>
      <w:pPr>
        <w:pStyle w:val="BodyText"/>
      </w:pPr>
      <w:r>
        <w:t xml:space="preserve">Participants completed up to 5 study visits over approximately 3 months: a screening visit, intake visit, and 3 monthly follow-up visits. At screening we determined eligibility and collected demographic information (age, sex at birth, race, ethnicity, education, marital status, and income) and clinical characteristics (DSM-5 AUD symptom count, personality</w:t>
      </w:r>
      <w:r>
        <w:t xml:space="preserve"> </w:t>
      </w:r>
      <w:r>
        <w:t xml:space="preserve">[17]</w:t>
      </w:r>
      <w:r>
        <w:t xml:space="preserve">, and psychiatric symptoms</w:t>
      </w:r>
      <w:r>
        <w:t xml:space="preserve"> </w:t>
      </w:r>
      <w:r>
        <w:t xml:space="preserve">[16,18]</w:t>
      </w:r>
      <w:r>
        <w:t xml:space="preserve">). At the intake visit, approximately two weeks after screening, we collected additional self-report data on abstinence self-efficacy</w:t>
      </w:r>
      <w:r>
        <w:t xml:space="preserve"> </w:t>
      </w:r>
      <w:r>
        <w:t xml:space="preserve">[19]</w:t>
      </w:r>
      <w:r>
        <w:t xml:space="preserve">, craving</w:t>
      </w:r>
      <w:r>
        <w:t xml:space="preserve"> </w:t>
      </w:r>
      <w:r>
        <w:t xml:space="preserve">[20]</w:t>
      </w:r>
      <w:r>
        <w:t xml:space="preserve">, and recent recovery efforts and goals.</w:t>
      </w:r>
    </w:p>
    <w:p>
      <w:pPr>
        <w:pStyle w:val="BodyText"/>
      </w:pPr>
      <w:r>
        <w:t xml:space="preserve">At each monthly follow-up, we downloaded backups of participants’ cellular communication metadata directly from their smartphones. Metadata included the phone number of the other party, the date and time of the communication, the origin of call or message (i.e., incoming or outgoing), whether the call was answered (voice calls only), and the duration of the call (voice calls only). During each follow-up visit, study staff identified important contacts. Contacts that participants communicated with at least twice by call or text in the past month were considered important. For each important contact, participants answered seven contextual questions about their type of relationship, whether they ever drank alcohol with this person, the drinking status of the contact, expectations about whether the contact would drink in their presence, recovery status of contact, level of supportiveness of contact, and affective experiences with the contact.</w:t>
      </w:r>
    </w:p>
    <w:p>
      <w:pPr>
        <w:pStyle w:val="BodyText"/>
      </w:pPr>
      <w:r>
        <w:t xml:space="preserve">While enrolled, participants completed four brief daily ecological momentary assessments (7-10 questions). The first item assessed alcohol use (date and time of any unreported drinking episodes). The remaining EMA questions were used as features in other studies</w:t>
      </w:r>
      <w:r>
        <w:t xml:space="preserve"> </w:t>
      </w:r>
      <w:r>
        <w:t xml:space="preserve">[10,11]</w:t>
      </w:r>
      <w:r>
        <w:t xml:space="preserve">, but were outside the scope of this cellular communication sensing study. Additional sensing data streams and self-report measures were collected for the parent grant. We compensated participants up to $115 per month for completing study tasks (i.e., EMAs, monthly follow-up visits and sharing sensing data) and $66 per month to offset the cost of their cellphone plan. The full study protocol is available on our OSF page (</w:t>
      </w:r>
      <w:hyperlink r:id="rId11">
        <w:r>
          <w:rPr>
            <w:rStyle w:val="Hyperlink"/>
          </w:rPr>
          <w:t xml:space="preserve">https://osf.io/wgpz9/</w:t>
        </w:r>
      </w:hyperlink>
      <w:r>
        <w:t xml:space="preserve">).</w:t>
      </w:r>
    </w:p>
    <w:bookmarkEnd w:id="14"/>
    <w:bookmarkStart w:id="15" w:name="ethics"/>
    <w:p>
      <w:pPr>
        <w:pStyle w:val="Heading2"/>
      </w:pPr>
      <w:r>
        <w:t xml:space="preserve">Ethics</w:t>
      </w:r>
    </w:p>
    <w:p>
      <w:pPr>
        <w:pStyle w:val="FirstParagraph"/>
      </w:pPr>
      <w:r>
        <w:t xml:space="preserve">All procedures were approved by the University of Wisconsin-Madison Institutional Review Board (Study #2015-0780) and carried out in accordance with the principles of the Declaration of Helsinki. All participants provided written informed consent observed by a research assistant.</w:t>
      </w:r>
    </w:p>
    <w:bookmarkEnd w:id="15"/>
    <w:bookmarkStart w:id="22" w:name="data-analysis-plan"/>
    <w:p>
      <w:pPr>
        <w:pStyle w:val="Heading2"/>
      </w:pPr>
      <w:r>
        <w:t xml:space="preserve">Data Analysis Plan</w:t>
      </w:r>
    </w:p>
    <w:bookmarkStart w:id="16" w:name="labels"/>
    <w:p>
      <w:pPr>
        <w:pStyle w:val="Heading3"/>
      </w:pPr>
      <w:r>
        <w:t xml:space="preserve">Labels</w:t>
      </w:r>
    </w:p>
    <w:p>
      <w:pPr>
        <w:pStyle w:val="FirstParagraph"/>
      </w:pPr>
      <w:r>
        <w:t xml:space="preserve">Our models predicted the probability of an alcohol lapse within a 24-hour window. Predictions were generated daily at 4 a.m., beginning on participants’ second study day and continuing for up to 3 months. Participants reported the date and hour of the start and end time of any alcohol use on the first item of the EMA. Participants demonstrated good adherence to our 4X daily EMA protocol (mean adherence = 78%) and provided at least one EMA on 95% of study days. Prediction windows were labeled as lapse if any alcohol use was reported in the 24-hour window. In total, there were 11,507 labeled prediction windows across all participants. Positive lapse labels were underrepresented (7.5%; 861/11,507).</w:t>
      </w:r>
    </w:p>
    <w:bookmarkEnd w:id="16"/>
    <w:bookmarkStart w:id="19" w:name="feature-engineering"/>
    <w:p>
      <w:pPr>
        <w:pStyle w:val="Heading3"/>
      </w:pPr>
      <w:r>
        <w:t xml:space="preserve">Feature Engineering</w:t>
      </w:r>
    </w:p>
    <w:p>
      <w:pPr>
        <w:pStyle w:val="FirstParagraph"/>
      </w:pPr>
      <w:r>
        <w:t xml:space="preserve">Features were calculated using only data collected before the start of each prediction window to ensure our models were making true future predictions. We calculated a total of 181 features from four feature sets:</w:t>
      </w:r>
    </w:p>
    <w:p>
      <w:pPr>
        <w:numPr>
          <w:ilvl w:val="0"/>
          <w:numId w:val="1001"/>
        </w:numPr>
      </w:pPr>
      <w:r>
        <w:rPr>
          <w:i/>
          <w:iCs/>
        </w:rPr>
        <w:t xml:space="preserve">Cellular Communication Data.</w:t>
      </w:r>
      <w:r>
        <w:t xml:space="preserve"> </w:t>
      </w:r>
      <w:r>
        <w:t xml:space="preserve">We filtered the raw communication data to include only communications with known context (i.e., people with whom they communicated with at least twice in a month and whom they provided self-report context about). Cellular communication features were engineered from all available data up to the start of each window. We used two feature scoring epochs (24 hours and 1 week before the start of the prediction window) to create a total of 142 features.</w:t>
      </w:r>
    </w:p>
    <w:p>
      <w:pPr>
        <w:numPr>
          <w:ilvl w:val="0"/>
          <w:numId w:val="1000"/>
        </w:numPr>
      </w:pPr>
      <w:r>
        <w:t xml:space="preserve">Within each feature scoring epoch, we calculated two types of features: raw and difference features. Raw features represent the feature value calculated within a given feature scoring epoch. For example, the raw rate of incoming text messages in a 24-hour feature scoring epoch was calculated as the total number of incoming text messages in the 24 hours immediately preceding the start of the prediction window, divided by 24. Difference features capture participant-level changes from baseline. Specifically, for each feature we subtracted the participant’s mean value (using all available data prior to the prediction window) from the associated raw feature value. For example, the difference feature for incoming text messages was calculated as the raw incoming text message rate minus the participant’s average incoming text message rate across all time on study.</w:t>
      </w:r>
    </w:p>
    <w:p>
      <w:pPr>
        <w:numPr>
          <w:ilvl w:val="0"/>
          <w:numId w:val="1001"/>
        </w:numPr>
      </w:pPr>
      <w:r>
        <w:rPr>
          <w:i/>
          <w:iCs/>
        </w:rPr>
        <w:t xml:space="preserve">Demographics.</w:t>
      </w:r>
      <w:r>
        <w:t xml:space="preserve"> </w:t>
      </w:r>
      <w:r>
        <w:t xml:space="preserve">We created 2 numeric features for age and income, and 10 one-hot coded features for sex at birth (male, female), race and ethnicity (non-Hispanic White, Hispanic and/or not White), education (high school or less, some college, college degree), and marital status (married, not married, other).</w:t>
      </w:r>
    </w:p>
    <w:p>
      <w:pPr>
        <w:numPr>
          <w:ilvl w:val="0"/>
          <w:numId w:val="1001"/>
        </w:numPr>
      </w:pPr>
      <w:r>
        <w:rPr>
          <w:i/>
          <w:iCs/>
        </w:rPr>
        <w:t xml:space="preserve">Alcohol Use Characteristics.</w:t>
      </w:r>
      <w:r>
        <w:t xml:space="preserve"> </w:t>
      </w:r>
      <w:r>
        <w:t xml:space="preserve">We created 21 features from baseline measures of alcohol use characteristics, including numeric features of DSM-5 AUD symptom count, craving, four abstinence self-efficacy subscales (negative affect, social, physical, and craving), number of individual alcohol counseling sessions, group alcohol counseling sessions, self-help meetings, and other mental health counseling sessions in the past 30 days, number of days in contact with supportive and unsupportive people in the past 30 days, and satisfaction with and confidence in recovery over the past 30 days. We also created one-hot coded features for whether they have taken prescription medication for alcohol use disorder or mental health in the past 30 days and whether they had a goal of abstinence.</w:t>
      </w:r>
    </w:p>
    <w:p>
      <w:pPr>
        <w:numPr>
          <w:ilvl w:val="0"/>
          <w:numId w:val="1001"/>
        </w:numPr>
      </w:pPr>
      <w:r>
        <w:rPr>
          <w:i/>
          <w:iCs/>
        </w:rPr>
        <w:t xml:space="preserve">Psychiatric and Personality Characteristics</w:t>
      </w:r>
      <w:r>
        <w:t xml:space="preserve"> </w:t>
      </w:r>
      <w:r>
        <w:t xml:space="preserve">We created 6 numeric features from baseline measures from broad psychiatric and personality traits, including higher order personality dimensions of positive emotionality, negative emotionality, and constraint and psychiatric comorbidities of depression, anxiety, and stress.</w:t>
      </w:r>
    </w:p>
    <w:p>
      <w:pPr>
        <w:pStyle w:val="FirstParagraph"/>
      </w:pPr>
      <w:hyperlink w:anchor="tbl-1">
        <w:r>
          <w:rPr>
            <w:rStyle w:val="Hyperlink"/>
          </w:rPr>
          <w:t xml:space="preserve">Table 1</w:t>
        </w:r>
      </w:hyperlink>
      <w:r>
        <w:t xml:space="preserve"> </w:t>
      </w:r>
      <w:r>
        <w:t xml:space="preserve">details the raw predictors, feature sets, feature engineering procedures, scoring epochs, and number of features. If no data was observed during a feature scoring epoch that feature was scored 0, thus there was no missing data across features. Other feature engineering steps performed during cross-validation included standardizing all features and removing zero and near-zero variance features as determined from held-in data.</w:t>
      </w:r>
    </w:p>
    <w:tbl>
      <w:tblPr>
        <w:tblStyle w:val="Table"/>
        <w:tblW w:type="pct" w:w="5000"/>
        <w:tblLayout w:type="fixed"/>
        <w:tblLook w:firstRow="0" w:lastRow="0" w:firstColumn="0" w:lastColumn="0" w:noHBand="0" w:noVBand="0" w:val="0000"/>
      </w:tblPr>
      <w:tblGrid>
        <w:gridCol w:w="7920"/>
      </w:tblGrid>
      <w:tr>
        <w:tc>
          <w:tcPr/>
          <w:bookmarkStart w:id="17" w:name="tbl-1"/>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Raw Predictor</w:t>
                  </w:r>
                </w:p>
              </w:tc>
              <w:tc>
                <w:tcPr/>
                <w:p>
                  <w:pPr>
                    <w:pStyle w:val="Compact"/>
                    <w:jc w:val="left"/>
                    <w:jc w:val="center"/>
                  </w:pPr>
                  <w:r>
                    <w:t xml:space="preserve">Feature Set</w:t>
                  </w:r>
                </w:p>
              </w:tc>
              <w:tc>
                <w:tcPr/>
                <w:p>
                  <w:pPr>
                    <w:pStyle w:val="Compact"/>
                    <w:jc w:val="left"/>
                    <w:jc w:val="center"/>
                  </w:pPr>
                  <w:r>
                    <w:t xml:space="preserve">Response Options</w:t>
                  </w:r>
                </w:p>
              </w:tc>
              <w:tc>
                <w:tcPr/>
                <w:p>
                  <w:pPr>
                    <w:pStyle w:val="Compact"/>
                    <w:jc w:val="left"/>
                    <w:jc w:val="center"/>
                  </w:pPr>
                  <w:r>
                    <w:t xml:space="preserve">Feature Engineering</w:t>
                  </w:r>
                </w:p>
              </w:tc>
              <w:tc>
                <w:tcPr/>
                <w:p>
                  <w:pPr>
                    <w:pStyle w:val="Compact"/>
                    <w:jc w:val="left"/>
                    <w:jc w:val="center"/>
                  </w:pPr>
                  <w:r>
                    <w:t xml:space="preserve">Feature Scoring Epochs</w:t>
                  </w:r>
                </w:p>
              </w:tc>
              <w:tc>
                <w:tcPr/>
                <w:p>
                  <w:pPr>
                    <w:pStyle w:val="Compact"/>
                    <w:jc w:val="right"/>
                    <w:jc w:val="center"/>
                  </w:pPr>
                  <w:r>
                    <w:t xml:space="preserve">Total Features</w:t>
                  </w:r>
                </w:p>
              </w:tc>
            </w:tr>
            <w:tr>
              <w:tc>
                <w:tcPr/>
                <w:p>
                  <w:pPr>
                    <w:pStyle w:val="Compact"/>
                    <w:jc w:val="left"/>
                    <w:jc w:val="center"/>
                  </w:pPr>
                  <w:r>
                    <w:t xml:space="preserve">Originated</w:t>
                  </w:r>
                </w:p>
              </w:tc>
              <w:tc>
                <w:tcPr/>
                <w:p>
                  <w:pPr>
                    <w:pStyle w:val="Compact"/>
                    <w:jc w:val="left"/>
                    <w:jc w:val="center"/>
                  </w:pPr>
                  <w:r>
                    <w:t xml:space="preserve">cellular communication</w:t>
                  </w:r>
                </w:p>
              </w:tc>
              <w:tc>
                <w:tcPr/>
                <w:p>
                  <w:pPr>
                    <w:pStyle w:val="Compact"/>
                    <w:jc w:val="left"/>
                    <w:jc w:val="center"/>
                  </w:pPr>
                  <w:r>
                    <w:t xml:space="preserve">Incoming, outgoing</w:t>
                  </w:r>
                </w:p>
              </w:tc>
              <w:tc>
                <w:tcPr/>
                <w:p>
                  <w:pPr>
                    <w:pStyle w:val="Compact"/>
                    <w:jc w:val="left"/>
                    <w:jc w:val="center"/>
                  </w:pPr>
                  <w:r>
                    <w:t xml:space="preserve">Difference and raw rate counts for text messages and voice calls</w:t>
                  </w:r>
                </w:p>
              </w:tc>
              <w:tc>
                <w:tcPr/>
                <w:p>
                  <w:pPr>
                    <w:pStyle w:val="Compact"/>
                    <w:jc w:val="left"/>
                    <w:jc w:val="center"/>
                  </w:pPr>
                  <w:r>
                    <w:t xml:space="preserve">24 and 1 week</w:t>
                  </w:r>
                </w:p>
              </w:tc>
              <w:tc>
                <w:tcPr/>
                <w:p>
                  <w:pPr>
                    <w:pStyle w:val="Compact"/>
                    <w:jc w:val="right"/>
                    <w:jc w:val="center"/>
                  </w:pPr>
                  <w:r>
                    <w:t xml:space="preserve">16</w:t>
                  </w:r>
                </w:p>
              </w:tc>
            </w:tr>
            <w:tr>
              <w:tc>
                <w:tcPr/>
                <w:p>
                  <w:pPr>
                    <w:pStyle w:val="Compact"/>
                    <w:jc w:val="left"/>
                    <w:jc w:val="center"/>
                  </w:pPr>
                  <w:r>
                    <w:t xml:space="preserve">Call duration</w:t>
                  </w:r>
                </w:p>
              </w:tc>
              <w:tc>
                <w:tcPr/>
                <w:p>
                  <w:pPr>
                    <w:pStyle w:val="Compact"/>
                    <w:jc w:val="left"/>
                    <w:jc w:val="center"/>
                  </w:pPr>
                  <w:r>
                    <w:t xml:space="preserve">cellular communication</w:t>
                  </w:r>
                </w:p>
              </w:tc>
              <w:tc>
                <w:tcPr/>
                <w:p>
                  <w:pPr>
                    <w:pStyle w:val="Compact"/>
                    <w:jc w:val="left"/>
                    <w:jc w:val="center"/>
                  </w:pPr>
                  <w:r>
                    <w:t xml:space="preserve">Duration (in minutes)</w:t>
                  </w:r>
                </w:p>
              </w:tc>
              <w:tc>
                <w:tcPr/>
                <w:p>
                  <w:pPr>
                    <w:pStyle w:val="Compact"/>
                    <w:jc w:val="left"/>
                    <w:jc w:val="center"/>
                  </w:pPr>
                  <w:r>
                    <w:t xml:space="preserve">Difference and raw rate sums of duration, difference and raw most recent duration</w:t>
                  </w:r>
                </w:p>
              </w:tc>
              <w:tc>
                <w:tcPr/>
                <w:p>
                  <w:pPr>
                    <w:pStyle w:val="Compact"/>
                    <w:jc w:val="left"/>
                    <w:jc w:val="center"/>
                  </w:pPr>
                  <w:r>
                    <w:t xml:space="preserve">24 and 1 week</w:t>
                  </w:r>
                </w:p>
              </w:tc>
              <w:tc>
                <w:tcPr/>
                <w:p>
                  <w:pPr>
                    <w:pStyle w:val="Compact"/>
                    <w:jc w:val="right"/>
                    <w:jc w:val="center"/>
                  </w:pPr>
                  <w:r>
                    <w:t xml:space="preserve">6</w:t>
                  </w:r>
                </w:p>
              </w:tc>
            </w:tr>
            <w:tr>
              <w:tc>
                <w:tcPr/>
                <w:p>
                  <w:pPr>
                    <w:pStyle w:val="Compact"/>
                    <w:jc w:val="left"/>
                    <w:jc w:val="center"/>
                  </w:pPr>
                  <w:r>
                    <w:t xml:space="preserve">Call answered</w:t>
                  </w:r>
                </w:p>
              </w:tc>
              <w:tc>
                <w:tcPr/>
                <w:p>
                  <w:pPr>
                    <w:pStyle w:val="Compact"/>
                    <w:jc w:val="left"/>
                    <w:jc w:val="center"/>
                  </w:pPr>
                  <w:r>
                    <w:t xml:space="preserve">cellular communication</w:t>
                  </w:r>
                </w:p>
              </w:tc>
              <w:tc>
                <w:tcPr/>
                <w:p>
                  <w:pPr>
                    <w:pStyle w:val="Compact"/>
                    <w:jc w:val="left"/>
                    <w:jc w:val="center"/>
                  </w:pPr>
                  <w:r>
                    <w:t xml:space="preserve">Yes, no</w:t>
                  </w:r>
                </w:p>
              </w:tc>
              <w:tc>
                <w:tcPr/>
                <w:p>
                  <w:pPr>
                    <w:pStyle w:val="Compact"/>
                    <w:jc w:val="left"/>
                    <w:jc w:val="center"/>
                  </w:pPr>
                  <w:r>
                    <w:t xml:space="preserve">Difference and raw rate counts for unanswered incoming voice calls (i.e., response option = no)</w:t>
                  </w:r>
                </w:p>
              </w:tc>
              <w:tc>
                <w:tcPr/>
                <w:p>
                  <w:pPr>
                    <w:pStyle w:val="Compact"/>
                    <w:jc w:val="left"/>
                    <w:jc w:val="center"/>
                  </w:pPr>
                  <w:r>
                    <w:t xml:space="preserve">24 and 1 week</w:t>
                  </w:r>
                </w:p>
              </w:tc>
              <w:tc>
                <w:tcPr/>
                <w:p>
                  <w:pPr>
                    <w:pStyle w:val="Compact"/>
                    <w:jc w:val="right"/>
                    <w:jc w:val="center"/>
                  </w:pPr>
                  <w:r>
                    <w:t xml:space="preserve">4</w:t>
                  </w:r>
                </w:p>
              </w:tc>
            </w:tr>
            <w:tr>
              <w:tc>
                <w:tcPr/>
                <w:p>
                  <w:pPr>
                    <w:pStyle w:val="Compact"/>
                    <w:jc w:val="left"/>
                    <w:jc w:val="center"/>
                  </w:pPr>
                  <w:r>
                    <w:t xml:space="preserve">Date/time of communication</w:t>
                  </w:r>
                </w:p>
              </w:tc>
              <w:tc>
                <w:tcPr/>
                <w:p>
                  <w:pPr>
                    <w:pStyle w:val="Compact"/>
                    <w:jc w:val="left"/>
                    <w:jc w:val="center"/>
                  </w:pPr>
                  <w:r>
                    <w:t xml:space="preserve">cellular communication</w:t>
                  </w:r>
                </w:p>
              </w:tc>
              <w:tc>
                <w:tcPr/>
                <w:p>
                  <w:pPr>
                    <w:pStyle w:val="Compact"/>
                    <w:jc w:val="left"/>
                    <w:jc w:val="center"/>
                  </w:pPr>
                  <w:r>
                    <w:t xml:space="preserve">Date and time</w:t>
                  </w:r>
                </w:p>
              </w:tc>
              <w:tc>
                <w:tcPr/>
                <w:p>
                  <w:pPr>
                    <w:pStyle w:val="Compact"/>
                    <w:jc w:val="left"/>
                    <w:jc w:val="center"/>
                  </w:pPr>
                  <w:r>
                    <w:t xml:space="preserve">Difference and raw rate counts for text messages and voice calls at night (10 pm-6am) and on weekends (Friday-Saturday)</w:t>
                  </w:r>
                </w:p>
              </w:tc>
              <w:tc>
                <w:tcPr/>
                <w:p>
                  <w:pPr>
                    <w:pStyle w:val="Compact"/>
                    <w:jc w:val="left"/>
                    <w:jc w:val="center"/>
                  </w:pPr>
                  <w:r>
                    <w:t xml:space="preserve">24 hours and 1 week (only 1 week used for weekend features)</w:t>
                  </w:r>
                </w:p>
              </w:tc>
              <w:tc>
                <w:tcPr/>
                <w:p>
                  <w:pPr>
                    <w:pStyle w:val="Compact"/>
                    <w:jc w:val="right"/>
                    <w:jc w:val="center"/>
                  </w:pPr>
                  <w:r>
                    <w:t xml:space="preserve">12</w:t>
                  </w:r>
                </w:p>
              </w:tc>
            </w:tr>
            <w:tr>
              <w:tc>
                <w:tcPr/>
                <w:p>
                  <w:pPr>
                    <w:pStyle w:val="Compact"/>
                    <w:jc w:val="left"/>
                    <w:jc w:val="center"/>
                  </w:pPr>
                  <w:r>
                    <w:t xml:space="preserve">Phone number</w:t>
                  </w:r>
                </w:p>
              </w:tc>
              <w:tc>
                <w:tcPr/>
                <w:p>
                  <w:pPr>
                    <w:pStyle w:val="Compact"/>
                    <w:jc w:val="left"/>
                    <w:jc w:val="center"/>
                  </w:pPr>
                  <w:r>
                    <w:t xml:space="preserve">cellular communication</w:t>
                  </w:r>
                </w:p>
              </w:tc>
              <w:tc>
                <w:tcPr/>
                <w:p>
                  <w:pPr>
                    <w:pStyle w:val="Compact"/>
                    <w:jc w:val="left"/>
                    <w:jc w:val="center"/>
                  </w:pPr>
                  <w:r>
                    <w:t xml:space="preserve">Phone number</w:t>
                  </w:r>
                </w:p>
              </w:tc>
              <w:tc>
                <w:tcPr/>
                <w:p>
                  <w:pPr>
                    <w:pStyle w:val="Compact"/>
                    <w:jc w:val="left"/>
                    <w:jc w:val="center"/>
                  </w:pPr>
                  <w:r>
                    <w:t xml:space="preserve">Difference and raw rate counts of unique phone numbers</w:t>
                  </w:r>
                </w:p>
              </w:tc>
              <w:tc>
                <w:tcPr/>
                <w:p>
                  <w:pPr>
                    <w:pStyle w:val="Compact"/>
                    <w:jc w:val="left"/>
                    <w:jc w:val="center"/>
                  </w:pPr>
                  <w:r>
                    <w:t xml:space="preserve">24 and 1 week</w:t>
                  </w:r>
                </w:p>
              </w:tc>
              <w:tc>
                <w:tcPr/>
                <w:p>
                  <w:pPr>
                    <w:pStyle w:val="Compact"/>
                    <w:jc w:val="right"/>
                    <w:jc w:val="center"/>
                  </w:pPr>
                  <w:r>
                    <w:t xml:space="preserve">4</w:t>
                  </w:r>
                </w:p>
              </w:tc>
            </w:tr>
            <w:tr>
              <w:tc>
                <w:tcPr/>
                <w:p>
                  <w:pPr>
                    <w:pStyle w:val="Compact"/>
                    <w:jc w:val="left"/>
                    <w:jc w:val="center"/>
                  </w:pPr>
                  <w:r>
                    <w:t xml:space="preserve">Type of Relationship</w:t>
                  </w:r>
                </w:p>
              </w:tc>
              <w:tc>
                <w:tcPr/>
                <w:p>
                  <w:pPr>
                    <w:pStyle w:val="Compact"/>
                    <w:jc w:val="left"/>
                    <w:jc w:val="center"/>
                  </w:pPr>
                  <w:r>
                    <w:t xml:space="preserve">cellular communication</w:t>
                  </w:r>
                </w:p>
              </w:tc>
              <w:tc>
                <w:tcPr/>
                <w:p>
                  <w:pPr>
                    <w:pStyle w:val="Compact"/>
                    <w:jc w:val="left"/>
                    <w:jc w:val="center"/>
                  </w:pPr>
                  <w:r>
                    <w:t xml:space="preserve">Family, friend, counselor or social worker, co-worker</w:t>
                  </w:r>
                </w:p>
              </w:tc>
              <w:tc>
                <w:tcPr/>
                <w:p>
                  <w:pPr>
                    <w:pStyle w:val="Compact"/>
                    <w:jc w:val="left"/>
                    <w:jc w:val="center"/>
                  </w:pPr>
                  <w:r>
                    <w:t xml:space="preserve">Difference and raw rate counts of unique phone numbers</w:t>
                  </w:r>
                </w:p>
              </w:tc>
              <w:tc>
                <w:tcPr/>
                <w:p>
                  <w:pPr>
                    <w:pStyle w:val="Compact"/>
                    <w:jc w:val="left"/>
                    <w:jc w:val="center"/>
                  </w:pPr>
                  <w:r>
                    <w:t xml:space="preserve">24 and 1 week</w:t>
                  </w:r>
                </w:p>
              </w:tc>
              <w:tc>
                <w:tcPr/>
                <w:p>
                  <w:pPr>
                    <w:pStyle w:val="Compact"/>
                    <w:jc w:val="right"/>
                    <w:jc w:val="center"/>
                  </w:pPr>
                  <w:r>
                    <w:t xml:space="preserve">16</w:t>
                  </w:r>
                </w:p>
              </w:tc>
            </w:tr>
            <w:tr>
              <w:tc>
                <w:tcPr/>
                <w:p>
                  <w:pPr>
                    <w:pStyle w:val="Compact"/>
                    <w:jc w:val="left"/>
                    <w:jc w:val="center"/>
                  </w:pPr>
                  <w:r>
                    <w:t xml:space="preserve">Have you drank alcohol with this person?</w:t>
                  </w:r>
                </w:p>
              </w:tc>
              <w:tc>
                <w:tcPr/>
                <w:p>
                  <w:pPr>
                    <w:pStyle w:val="Compact"/>
                    <w:jc w:val="left"/>
                    <w:jc w:val="center"/>
                  </w:pPr>
                  <w:r>
                    <w:t xml:space="preserve">cellular communication</w:t>
                  </w:r>
                </w:p>
              </w:tc>
              <w:tc>
                <w:tcPr/>
                <w:p>
                  <w:pPr>
                    <w:pStyle w:val="Compact"/>
                    <w:jc w:val="left"/>
                    <w:jc w:val="center"/>
                  </w:pPr>
                  <w:r>
                    <w:t xml:space="preserve">Never/almost never, occasionally, almost always/always</w:t>
                  </w:r>
                </w:p>
              </w:tc>
              <w:tc>
                <w:tcPr/>
                <w:p>
                  <w:pPr>
                    <w:pStyle w:val="Compact"/>
                    <w:jc w:val="left"/>
                    <w:jc w:val="center"/>
                  </w:pPr>
                  <w:r>
                    <w:t xml:space="preserve">Difference and raw rate counts of each response option</w:t>
                  </w:r>
                </w:p>
              </w:tc>
              <w:tc>
                <w:tcPr/>
                <w:p>
                  <w:pPr>
                    <w:pStyle w:val="Compact"/>
                    <w:jc w:val="left"/>
                    <w:jc w:val="center"/>
                  </w:pPr>
                  <w:r>
                    <w:t xml:space="preserve">24 and 1 week</w:t>
                  </w:r>
                </w:p>
              </w:tc>
              <w:tc>
                <w:tcPr/>
                <w:p>
                  <w:pPr>
                    <w:pStyle w:val="Compact"/>
                    <w:jc w:val="right"/>
                    <w:jc w:val="center"/>
                  </w:pPr>
                  <w:r>
                    <w:t xml:space="preserve">12</w:t>
                  </w:r>
                </w:p>
              </w:tc>
            </w:tr>
            <w:tr>
              <w:tc>
                <w:tcPr/>
                <w:p>
                  <w:pPr>
                    <w:pStyle w:val="Compact"/>
                    <w:jc w:val="left"/>
                    <w:jc w:val="center"/>
                  </w:pPr>
                  <w:r>
                    <w:t xml:space="preserve">What is their drinking status?</w:t>
                  </w:r>
                </w:p>
              </w:tc>
              <w:tc>
                <w:tcPr/>
                <w:p>
                  <w:pPr>
                    <w:pStyle w:val="Compact"/>
                    <w:jc w:val="left"/>
                    <w:jc w:val="center"/>
                  </w:pPr>
                  <w:r>
                    <w:t xml:space="preserve">cellular communication</w:t>
                  </w:r>
                </w:p>
              </w:tc>
              <w:tc>
                <w:tcPr/>
                <w:p>
                  <w:pPr>
                    <w:pStyle w:val="Compact"/>
                    <w:jc w:val="left"/>
                    <w:jc w:val="center"/>
                  </w:pPr>
                  <w:r>
                    <w:t xml:space="preserve">Drinker, non-drinker, don't know</w:t>
                  </w:r>
                </w:p>
              </w:tc>
              <w:tc>
                <w:tcPr/>
                <w:p>
                  <w:pPr>
                    <w:pStyle w:val="Compact"/>
                    <w:jc w:val="left"/>
                    <w:jc w:val="center"/>
                  </w:pPr>
                  <w:r>
                    <w:t xml:space="preserve">Difference and raw rate counts of each response option</w:t>
                  </w:r>
                </w:p>
              </w:tc>
              <w:tc>
                <w:tcPr/>
                <w:p>
                  <w:pPr>
                    <w:pStyle w:val="Compact"/>
                    <w:jc w:val="left"/>
                    <w:jc w:val="center"/>
                  </w:pPr>
                  <w:r>
                    <w:t xml:space="preserve">24 and 1 week</w:t>
                  </w:r>
                </w:p>
              </w:tc>
              <w:tc>
                <w:tcPr/>
                <w:p>
                  <w:pPr>
                    <w:pStyle w:val="Compact"/>
                    <w:jc w:val="right"/>
                    <w:jc w:val="center"/>
                  </w:pPr>
                  <w:r>
                    <w:t xml:space="preserve">12</w:t>
                  </w:r>
                </w:p>
              </w:tc>
            </w:tr>
            <w:tr>
              <w:tc>
                <w:tcPr/>
                <w:p>
                  <w:pPr>
                    <w:pStyle w:val="Compact"/>
                    <w:jc w:val="left"/>
                    <w:jc w:val="center"/>
                  </w:pPr>
                  <w:r>
                    <w:t xml:space="preserve">Would you expect them to drink in your presence?</w:t>
                  </w:r>
                </w:p>
              </w:tc>
              <w:tc>
                <w:tcPr/>
                <w:p>
                  <w:pPr>
                    <w:pStyle w:val="Compact"/>
                    <w:jc w:val="left"/>
                    <w:jc w:val="center"/>
                  </w:pPr>
                  <w:r>
                    <w:t xml:space="preserve">cellular communication</w:t>
                  </w:r>
                </w:p>
              </w:tc>
              <w:tc>
                <w:tcPr/>
                <w:p>
                  <w:pPr>
                    <w:pStyle w:val="Compact"/>
                    <w:jc w:val="left"/>
                    <w:jc w:val="center"/>
                  </w:pPr>
                  <w:r>
                    <w:t xml:space="preserve">Yes, no, uncertain</w:t>
                  </w:r>
                </w:p>
              </w:tc>
              <w:tc>
                <w:tcPr/>
                <w:p>
                  <w:pPr>
                    <w:pStyle w:val="Compact"/>
                    <w:jc w:val="left"/>
                    <w:jc w:val="center"/>
                  </w:pPr>
                  <w:r>
                    <w:t xml:space="preserve">Difference and raw rate counts of each response option</w:t>
                  </w:r>
                </w:p>
              </w:tc>
              <w:tc>
                <w:tcPr/>
                <w:p>
                  <w:pPr>
                    <w:pStyle w:val="Compact"/>
                    <w:jc w:val="left"/>
                    <w:jc w:val="center"/>
                  </w:pPr>
                  <w:r>
                    <w:t xml:space="preserve">24 and 1 week</w:t>
                  </w:r>
                </w:p>
              </w:tc>
              <w:tc>
                <w:tcPr/>
                <w:p>
                  <w:pPr>
                    <w:pStyle w:val="Compact"/>
                    <w:jc w:val="right"/>
                    <w:jc w:val="center"/>
                  </w:pPr>
                  <w:r>
                    <w:t xml:space="preserve">12</w:t>
                  </w:r>
                </w:p>
              </w:tc>
            </w:tr>
            <w:tr>
              <w:tc>
                <w:tcPr/>
                <w:p>
                  <w:pPr>
                    <w:pStyle w:val="Compact"/>
                    <w:jc w:val="left"/>
                    <w:jc w:val="center"/>
                  </w:pPr>
                  <w:r>
                    <w:t xml:space="preserve">Are they currently in recovery from drugs or alcohol?</w:t>
                  </w:r>
                </w:p>
              </w:tc>
              <w:tc>
                <w:tcPr/>
                <w:p>
                  <w:pPr>
                    <w:pStyle w:val="Compact"/>
                    <w:jc w:val="left"/>
                    <w:jc w:val="center"/>
                  </w:pPr>
                  <w:r>
                    <w:t xml:space="preserve">cellular communication</w:t>
                  </w:r>
                </w:p>
              </w:tc>
              <w:tc>
                <w:tcPr/>
                <w:p>
                  <w:pPr>
                    <w:pStyle w:val="Compact"/>
                    <w:jc w:val="left"/>
                    <w:jc w:val="center"/>
                  </w:pPr>
                  <w:r>
                    <w:t xml:space="preserve">Yes, no, don't know</w:t>
                  </w:r>
                </w:p>
              </w:tc>
              <w:tc>
                <w:tcPr/>
                <w:p>
                  <w:pPr>
                    <w:pStyle w:val="Compact"/>
                    <w:jc w:val="left"/>
                    <w:jc w:val="center"/>
                  </w:pPr>
                  <w:r>
                    <w:t xml:space="preserve">Difference and raw rate counts of each response option</w:t>
                  </w:r>
                </w:p>
              </w:tc>
              <w:tc>
                <w:tcPr/>
                <w:p>
                  <w:pPr>
                    <w:pStyle w:val="Compact"/>
                    <w:jc w:val="left"/>
                    <w:jc w:val="center"/>
                  </w:pPr>
                  <w:r>
                    <w:t xml:space="preserve">24 and 1 week</w:t>
                  </w:r>
                </w:p>
              </w:tc>
              <w:tc>
                <w:tcPr/>
                <w:p>
                  <w:pPr>
                    <w:pStyle w:val="Compact"/>
                    <w:jc w:val="right"/>
                    <w:jc w:val="center"/>
                  </w:pPr>
                  <w:r>
                    <w:t xml:space="preserve">12</w:t>
                  </w:r>
                </w:p>
              </w:tc>
            </w:tr>
            <w:tr>
              <w:tc>
                <w:tcPr/>
                <w:p>
                  <w:pPr>
                    <w:pStyle w:val="Compact"/>
                    <w:jc w:val="left"/>
                    <w:jc w:val="center"/>
                  </w:pPr>
                  <w:r>
                    <w:t xml:space="preserve">Are they supportive about your recovery goals?</w:t>
                  </w:r>
                </w:p>
              </w:tc>
              <w:tc>
                <w:tcPr/>
                <w:p>
                  <w:pPr>
                    <w:pStyle w:val="Compact"/>
                    <w:jc w:val="left"/>
                    <w:jc w:val="center"/>
                  </w:pPr>
                  <w:r>
                    <w:t xml:space="preserve">cellular communication</w:t>
                  </w:r>
                </w:p>
              </w:tc>
              <w:tc>
                <w:tcPr/>
                <w:p>
                  <w:pPr>
                    <w:pStyle w:val="Compact"/>
                    <w:jc w:val="left"/>
                    <w:jc w:val="center"/>
                  </w:pPr>
                  <w:r>
                    <w:t xml:space="preserve">Supportive, unsupportive, mixed, neutral, don't know</w:t>
                  </w:r>
                </w:p>
              </w:tc>
              <w:tc>
                <w:tcPr/>
                <w:p>
                  <w:pPr>
                    <w:pStyle w:val="Compact"/>
                    <w:jc w:val="left"/>
                    <w:jc w:val="center"/>
                  </w:pPr>
                  <w:r>
                    <w:t xml:space="preserve">Difference and raw rate counts of each response option</w:t>
                  </w:r>
                </w:p>
              </w:tc>
              <w:tc>
                <w:tcPr/>
                <w:p>
                  <w:pPr>
                    <w:pStyle w:val="Compact"/>
                    <w:jc w:val="left"/>
                    <w:jc w:val="center"/>
                  </w:pPr>
                  <w:r>
                    <w:t xml:space="preserve">24 and 1 week</w:t>
                  </w:r>
                </w:p>
              </w:tc>
              <w:tc>
                <w:tcPr/>
                <w:p>
                  <w:pPr>
                    <w:pStyle w:val="Compact"/>
                    <w:jc w:val="right"/>
                    <w:jc w:val="center"/>
                  </w:pPr>
                  <w:r>
                    <w:t xml:space="preserve">20</w:t>
                  </w:r>
                </w:p>
              </w:tc>
            </w:tr>
            <w:tr>
              <w:tc>
                <w:tcPr/>
                <w:p>
                  <w:pPr>
                    <w:pStyle w:val="Compact"/>
                    <w:jc w:val="left"/>
                    <w:jc w:val="center"/>
                  </w:pPr>
                  <w:r>
                    <w:t xml:space="preserve">How are your typical experiences with this person?</w:t>
                  </w:r>
                </w:p>
              </w:tc>
              <w:tc>
                <w:tcPr/>
                <w:p>
                  <w:pPr>
                    <w:pStyle w:val="Compact"/>
                    <w:jc w:val="left"/>
                    <w:jc w:val="center"/>
                  </w:pPr>
                  <w:r>
                    <w:t xml:space="preserve">cellular communication</w:t>
                  </w:r>
                </w:p>
              </w:tc>
              <w:tc>
                <w:tcPr/>
                <w:p>
                  <w:pPr>
                    <w:pStyle w:val="Compact"/>
                    <w:jc w:val="left"/>
                    <w:jc w:val="center"/>
                  </w:pPr>
                  <w:r>
                    <w:t xml:space="preserve">Pleasant, unpleasant, mixed, neutral</w:t>
                  </w:r>
                </w:p>
              </w:tc>
              <w:tc>
                <w:tcPr/>
                <w:p>
                  <w:pPr>
                    <w:pStyle w:val="Compact"/>
                    <w:jc w:val="left"/>
                    <w:jc w:val="center"/>
                  </w:pPr>
                  <w:r>
                    <w:t xml:space="preserve">Difference and raw rate counts of each response option</w:t>
                  </w:r>
                </w:p>
              </w:tc>
              <w:tc>
                <w:tcPr/>
                <w:p>
                  <w:pPr>
                    <w:pStyle w:val="Compact"/>
                    <w:jc w:val="left"/>
                    <w:jc w:val="center"/>
                  </w:pPr>
                  <w:r>
                    <w:t xml:space="preserve">24 and 1 week</w:t>
                  </w:r>
                </w:p>
              </w:tc>
              <w:tc>
                <w:tcPr/>
                <w:p>
                  <w:pPr>
                    <w:pStyle w:val="Compact"/>
                    <w:jc w:val="right"/>
                    <w:jc w:val="center"/>
                  </w:pPr>
                  <w:r>
                    <w:t xml:space="preserve">16</w:t>
                  </w:r>
                </w:p>
              </w:tc>
            </w:tr>
            <w:tr>
              <w:tc>
                <w:tcPr/>
                <w:p>
                  <w:pPr>
                    <w:pStyle w:val="Compact"/>
                    <w:jc w:val="left"/>
                    <w:jc w:val="center"/>
                  </w:pPr>
                  <w:r>
                    <w:t xml:space="preserve">Age</w:t>
                  </w:r>
                </w:p>
              </w:tc>
              <w:tc>
                <w:tcPr/>
                <w:p>
                  <w:pPr>
                    <w:pStyle w:val="Compact"/>
                    <w:jc w:val="left"/>
                    <w:jc w:val="center"/>
                  </w:pPr>
                  <w:r>
                    <w:t xml:space="preserve">demographics</w:t>
                  </w:r>
                </w:p>
              </w:tc>
              <w:tc>
                <w:tcPr/>
                <w:p>
                  <w:pPr>
                    <w:pStyle w:val="Compact"/>
                    <w:jc w:val="left"/>
                    <w:jc w:val="center"/>
                  </w:pPr>
                  <w:r>
                    <w:t xml:space="preserve">Numeric (years)</w:t>
                  </w:r>
                </w:p>
              </w:tc>
              <w:tc>
                <w:tcPr/>
                <w:p>
                  <w:pPr>
                    <w:pStyle w:val="Compact"/>
                  </w:pPr>
                </w:p>
              </w:tc>
              <w:tc>
                <w:tcPr/>
                <w:p>
                  <w:pPr>
                    <w:pStyle w:val="Compact"/>
                  </w:pPr>
                </w:p>
              </w:tc>
              <w:tc>
                <w:tcPr/>
                <w:p>
                  <w:pPr>
                    <w:pStyle w:val="Compact"/>
                    <w:jc w:val="right"/>
                    <w:jc w:val="center"/>
                  </w:pPr>
                  <w:r>
                    <w:t xml:space="preserve">1</w:t>
                  </w:r>
                </w:p>
              </w:tc>
            </w:tr>
            <w:tr>
              <w:tc>
                <w:tcPr/>
                <w:p>
                  <w:pPr>
                    <w:pStyle w:val="Compact"/>
                    <w:jc w:val="left"/>
                    <w:jc w:val="center"/>
                  </w:pPr>
                  <w:r>
                    <w:t xml:space="preserve">Sex at birth</w:t>
                  </w:r>
                </w:p>
              </w:tc>
              <w:tc>
                <w:tcPr/>
                <w:p>
                  <w:pPr>
                    <w:pStyle w:val="Compact"/>
                    <w:jc w:val="left"/>
                    <w:jc w:val="center"/>
                  </w:pPr>
                  <w:r>
                    <w:t xml:space="preserve">demographics</w:t>
                  </w:r>
                </w:p>
              </w:tc>
              <w:tc>
                <w:tcPr/>
                <w:p>
                  <w:pPr>
                    <w:pStyle w:val="Compact"/>
                    <w:jc w:val="left"/>
                    <w:jc w:val="center"/>
                  </w:pPr>
                  <w:r>
                    <w:t xml:space="preserve">Male, female</w:t>
                  </w:r>
                </w:p>
              </w:tc>
              <w:tc>
                <w:tcPr/>
                <w:p>
                  <w:pPr>
                    <w:pStyle w:val="Compact"/>
                    <w:jc w:val="left"/>
                    <w:jc w:val="center"/>
                  </w:pPr>
                  <w:r>
                    <w:t xml:space="preserve">One-hot coded</w:t>
                  </w:r>
                </w:p>
              </w:tc>
              <w:tc>
                <w:tcPr/>
                <w:p>
                  <w:pPr>
                    <w:pStyle w:val="Compact"/>
                  </w:pPr>
                </w:p>
              </w:tc>
              <w:tc>
                <w:tcPr/>
                <w:p>
                  <w:pPr>
                    <w:pStyle w:val="Compact"/>
                    <w:jc w:val="right"/>
                    <w:jc w:val="center"/>
                  </w:pPr>
                  <w:r>
                    <w:t xml:space="preserve">2</w:t>
                  </w:r>
                </w:p>
              </w:tc>
            </w:tr>
            <w:tr>
              <w:tc>
                <w:tcPr/>
                <w:p>
                  <w:pPr>
                    <w:pStyle w:val="Compact"/>
                    <w:jc w:val="left"/>
                    <w:jc w:val="center"/>
                  </w:pPr>
                  <w:r>
                    <w:t xml:space="preserve">Race</w:t>
                  </w:r>
                </w:p>
              </w:tc>
              <w:tc>
                <w:tcPr/>
                <w:p>
                  <w:pPr>
                    <w:pStyle w:val="Compact"/>
                    <w:jc w:val="left"/>
                    <w:jc w:val="center"/>
                  </w:pPr>
                  <w:r>
                    <w:t xml:space="preserve">demographics</w:t>
                  </w:r>
                </w:p>
              </w:tc>
              <w:tc>
                <w:tcPr/>
                <w:p>
                  <w:pPr>
                    <w:pStyle w:val="Compact"/>
                    <w:jc w:val="left"/>
                    <w:jc w:val="center"/>
                  </w:pPr>
                  <w:r>
                    <w:t xml:space="preserve">Non-Hispanic White, non-White and/or Hispanic</w:t>
                  </w:r>
                </w:p>
              </w:tc>
              <w:tc>
                <w:tcPr/>
                <w:p>
                  <w:pPr>
                    <w:pStyle w:val="Compact"/>
                    <w:jc w:val="left"/>
                    <w:jc w:val="center"/>
                  </w:pPr>
                  <w:r>
                    <w:t xml:space="preserve">One-hot coded</w:t>
                  </w:r>
                </w:p>
              </w:tc>
              <w:tc>
                <w:tcPr/>
                <w:p>
                  <w:pPr>
                    <w:pStyle w:val="Compact"/>
                  </w:pPr>
                </w:p>
              </w:tc>
              <w:tc>
                <w:tcPr/>
                <w:p>
                  <w:pPr>
                    <w:pStyle w:val="Compact"/>
                    <w:jc w:val="right"/>
                    <w:jc w:val="center"/>
                  </w:pPr>
                  <w:r>
                    <w:t xml:space="preserve">2</w:t>
                  </w:r>
                </w:p>
              </w:tc>
            </w:tr>
            <w:tr>
              <w:tc>
                <w:tcPr/>
                <w:p>
                  <w:pPr>
                    <w:pStyle w:val="Compact"/>
                    <w:jc w:val="left"/>
                    <w:jc w:val="center"/>
                  </w:pPr>
                  <w:r>
                    <w:t xml:space="preserve">Education</w:t>
                  </w:r>
                </w:p>
              </w:tc>
              <w:tc>
                <w:tcPr/>
                <w:p>
                  <w:pPr>
                    <w:pStyle w:val="Compact"/>
                    <w:jc w:val="left"/>
                    <w:jc w:val="center"/>
                  </w:pPr>
                  <w:r>
                    <w:t xml:space="preserve">demographics</w:t>
                  </w:r>
                </w:p>
              </w:tc>
              <w:tc>
                <w:tcPr/>
                <w:p>
                  <w:pPr>
                    <w:pStyle w:val="Compact"/>
                    <w:jc w:val="left"/>
                    <w:jc w:val="center"/>
                  </w:pPr>
                  <w:r>
                    <w:t xml:space="preserve">High school or less, some college, college degree</w:t>
                  </w:r>
                </w:p>
              </w:tc>
              <w:tc>
                <w:tcPr/>
                <w:p>
                  <w:pPr>
                    <w:pStyle w:val="Compact"/>
                    <w:jc w:val="left"/>
                    <w:jc w:val="center"/>
                  </w:pPr>
                  <w:r>
                    <w:t xml:space="preserve">One-hot coded</w:t>
                  </w:r>
                </w:p>
              </w:tc>
              <w:tc>
                <w:tcPr/>
                <w:p>
                  <w:pPr>
                    <w:pStyle w:val="Compact"/>
                  </w:pPr>
                </w:p>
              </w:tc>
              <w:tc>
                <w:tcPr/>
                <w:p>
                  <w:pPr>
                    <w:pStyle w:val="Compact"/>
                    <w:jc w:val="right"/>
                    <w:jc w:val="center"/>
                  </w:pPr>
                  <w:r>
                    <w:t xml:space="preserve">3</w:t>
                  </w:r>
                </w:p>
              </w:tc>
            </w:tr>
            <w:tr>
              <w:tc>
                <w:tcPr/>
                <w:p>
                  <w:pPr>
                    <w:pStyle w:val="Compact"/>
                    <w:jc w:val="left"/>
                    <w:jc w:val="center"/>
                  </w:pPr>
                  <w:r>
                    <w:t xml:space="preserve">Income</w:t>
                  </w:r>
                </w:p>
              </w:tc>
              <w:tc>
                <w:tcPr/>
                <w:p>
                  <w:pPr>
                    <w:pStyle w:val="Compact"/>
                    <w:jc w:val="left"/>
                    <w:jc w:val="center"/>
                  </w:pPr>
                  <w:r>
                    <w:t xml:space="preserve">demographics</w:t>
                  </w:r>
                </w:p>
              </w:tc>
              <w:tc>
                <w:tcPr/>
                <w:p>
                  <w:pPr>
                    <w:pStyle w:val="Compact"/>
                    <w:jc w:val="left"/>
                    <w:jc w:val="center"/>
                  </w:pPr>
                  <w:r>
                    <w:t xml:space="preserve">Numeric (dollars)</w:t>
                  </w:r>
                </w:p>
              </w:tc>
              <w:tc>
                <w:tcPr/>
                <w:p>
                  <w:pPr>
                    <w:pStyle w:val="Compact"/>
                  </w:pPr>
                </w:p>
              </w:tc>
              <w:tc>
                <w:tcPr/>
                <w:p>
                  <w:pPr>
                    <w:pStyle w:val="Compact"/>
                  </w:pPr>
                </w:p>
              </w:tc>
              <w:tc>
                <w:tcPr/>
                <w:p>
                  <w:pPr>
                    <w:pStyle w:val="Compact"/>
                    <w:jc w:val="right"/>
                    <w:jc w:val="center"/>
                  </w:pPr>
                  <w:r>
                    <w:t xml:space="preserve">1</w:t>
                  </w:r>
                </w:p>
              </w:tc>
            </w:tr>
            <w:tr>
              <w:tc>
                <w:tcPr/>
                <w:p>
                  <w:pPr>
                    <w:pStyle w:val="Compact"/>
                    <w:jc w:val="left"/>
                    <w:jc w:val="center"/>
                  </w:pPr>
                  <w:r>
                    <w:t xml:space="preserve">Marital Status</w:t>
                  </w:r>
                </w:p>
              </w:tc>
              <w:tc>
                <w:tcPr/>
                <w:p>
                  <w:pPr>
                    <w:pStyle w:val="Compact"/>
                    <w:jc w:val="left"/>
                    <w:jc w:val="center"/>
                  </w:pPr>
                  <w:r>
                    <w:t xml:space="preserve">demographics</w:t>
                  </w:r>
                </w:p>
              </w:tc>
              <w:tc>
                <w:tcPr/>
                <w:p>
                  <w:pPr>
                    <w:pStyle w:val="Compact"/>
                    <w:jc w:val="left"/>
                    <w:jc w:val="center"/>
                  </w:pPr>
                  <w:r>
                    <w:t xml:space="preserve">Married, not married, other</w:t>
                  </w:r>
                </w:p>
              </w:tc>
              <w:tc>
                <w:tcPr/>
                <w:p>
                  <w:pPr>
                    <w:pStyle w:val="Compact"/>
                    <w:jc w:val="left"/>
                    <w:jc w:val="center"/>
                  </w:pPr>
                  <w:r>
                    <w:t xml:space="preserve">One-hot coded</w:t>
                  </w:r>
                </w:p>
              </w:tc>
              <w:tc>
                <w:tcPr/>
                <w:p>
                  <w:pPr>
                    <w:pStyle w:val="Compact"/>
                  </w:pPr>
                </w:p>
              </w:tc>
              <w:tc>
                <w:tcPr/>
                <w:p>
                  <w:pPr>
                    <w:pStyle w:val="Compact"/>
                    <w:jc w:val="right"/>
                    <w:jc w:val="center"/>
                  </w:pPr>
                  <w:r>
                    <w:t xml:space="preserve">3</w:t>
                  </w:r>
                </w:p>
              </w:tc>
            </w:tr>
            <w:tr>
              <w:tc>
                <w:tcPr/>
                <w:p>
                  <w:pPr>
                    <w:pStyle w:val="Compact"/>
                    <w:jc w:val="left"/>
                    <w:jc w:val="center"/>
                  </w:pPr>
                  <w:r>
                    <w:t xml:space="preserve">DSM-5 symptom count</w:t>
                  </w:r>
                </w:p>
              </w:tc>
              <w:tc>
                <w:tcPr/>
                <w:p>
                  <w:pPr>
                    <w:pStyle w:val="Compact"/>
                    <w:jc w:val="left"/>
                    <w:jc w:val="center"/>
                  </w:pPr>
                  <w:r>
                    <w:t xml:space="preserve">alcohol use</w:t>
                  </w:r>
                </w:p>
              </w:tc>
              <w:tc>
                <w:tcPr/>
                <w:p>
                  <w:pPr>
                    <w:pStyle w:val="Compact"/>
                    <w:jc w:val="left"/>
                    <w:jc w:val="center"/>
                  </w:pPr>
                  <w:r>
                    <w:t xml:space="preserve">Numeric (4-11)</w:t>
                  </w:r>
                </w:p>
              </w:tc>
              <w:tc>
                <w:tcPr/>
                <w:p>
                  <w:pPr>
                    <w:pStyle w:val="Compact"/>
                  </w:pPr>
                </w:p>
              </w:tc>
              <w:tc>
                <w:tcPr/>
                <w:p>
                  <w:pPr>
                    <w:pStyle w:val="Compact"/>
                  </w:pPr>
                </w:p>
              </w:tc>
              <w:tc>
                <w:tcPr/>
                <w:p>
                  <w:pPr>
                    <w:pStyle w:val="Compact"/>
                    <w:jc w:val="right"/>
                    <w:jc w:val="center"/>
                  </w:pPr>
                  <w:r>
                    <w:t xml:space="preserve">1</w:t>
                  </w:r>
                </w:p>
              </w:tc>
            </w:tr>
            <w:tr>
              <w:tc>
                <w:tcPr/>
                <w:p>
                  <w:pPr>
                    <w:pStyle w:val="Compact"/>
                    <w:jc w:val="left"/>
                    <w:jc w:val="center"/>
                  </w:pPr>
                  <w:r>
                    <w:t xml:space="preserve">Craving</w:t>
                  </w:r>
                </w:p>
              </w:tc>
              <w:tc>
                <w:tcPr/>
                <w:p>
                  <w:pPr>
                    <w:pStyle w:val="Compact"/>
                    <w:jc w:val="left"/>
                    <w:jc w:val="center"/>
                  </w:pPr>
                  <w:r>
                    <w:t xml:space="preserve">alcohol use</w:t>
                  </w:r>
                </w:p>
              </w:tc>
              <w:tc>
                <w:tcPr/>
                <w:p>
                  <w:pPr>
                    <w:pStyle w:val="Compact"/>
                    <w:jc w:val="left"/>
                    <w:jc w:val="center"/>
                  </w:pPr>
                  <w:r>
                    <w:t xml:space="preserve">Numeric (0-30)</w:t>
                  </w:r>
                </w:p>
              </w:tc>
              <w:tc>
                <w:tcPr/>
                <w:p>
                  <w:pPr>
                    <w:pStyle w:val="Compact"/>
                  </w:pPr>
                </w:p>
              </w:tc>
              <w:tc>
                <w:tcPr/>
                <w:p>
                  <w:pPr>
                    <w:pStyle w:val="Compact"/>
                  </w:pPr>
                </w:p>
              </w:tc>
              <w:tc>
                <w:tcPr/>
                <w:p>
                  <w:pPr>
                    <w:pStyle w:val="Compact"/>
                    <w:jc w:val="right"/>
                    <w:jc w:val="center"/>
                  </w:pPr>
                  <w:r>
                    <w:t xml:space="preserve">1</w:t>
                  </w:r>
                </w:p>
              </w:tc>
            </w:tr>
            <w:tr>
              <w:tc>
                <w:tcPr/>
                <w:p>
                  <w:pPr>
                    <w:pStyle w:val="Compact"/>
                    <w:jc w:val="left"/>
                    <w:jc w:val="center"/>
                  </w:pPr>
                  <w:r>
                    <w:t xml:space="preserve">Abstinence self-efficacy: Negative affect, social, physical, and craving subscales</w:t>
                  </w:r>
                </w:p>
              </w:tc>
              <w:tc>
                <w:tcPr/>
                <w:p>
                  <w:pPr>
                    <w:pStyle w:val="Compact"/>
                    <w:jc w:val="left"/>
                    <w:jc w:val="center"/>
                  </w:pPr>
                  <w:r>
                    <w:t xml:space="preserve">alcohol use</w:t>
                  </w:r>
                </w:p>
              </w:tc>
              <w:tc>
                <w:tcPr/>
                <w:p>
                  <w:pPr>
                    <w:pStyle w:val="Compact"/>
                    <w:jc w:val="left"/>
                    <w:jc w:val="center"/>
                  </w:pPr>
                  <w:r>
                    <w:t xml:space="preserve">Numeric (0-20)</w:t>
                  </w:r>
                </w:p>
              </w:tc>
              <w:tc>
                <w:tcPr/>
                <w:p>
                  <w:pPr>
                    <w:pStyle w:val="Compact"/>
                  </w:pPr>
                </w:p>
              </w:tc>
              <w:tc>
                <w:tcPr/>
                <w:p>
                  <w:pPr>
                    <w:pStyle w:val="Compact"/>
                  </w:pPr>
                </w:p>
              </w:tc>
              <w:tc>
                <w:tcPr/>
                <w:p>
                  <w:pPr>
                    <w:pStyle w:val="Compact"/>
                    <w:jc w:val="right"/>
                    <w:jc w:val="center"/>
                  </w:pPr>
                  <w:r>
                    <w:t xml:space="preserve">4</w:t>
                  </w:r>
                </w:p>
              </w:tc>
            </w:tr>
            <w:tr>
              <w:tc>
                <w:tcPr/>
                <w:p>
                  <w:pPr>
                    <w:pStyle w:val="Compact"/>
                    <w:jc w:val="left"/>
                    <w:jc w:val="center"/>
                  </w:pPr>
                  <w:r>
                    <w:t xml:space="preserve">Number of individual alcohol counseling sessions attended (past 30 days)</w:t>
                  </w:r>
                </w:p>
              </w:tc>
              <w:tc>
                <w:tcPr/>
                <w:p>
                  <w:pPr>
                    <w:pStyle w:val="Compact"/>
                    <w:jc w:val="left"/>
                    <w:jc w:val="center"/>
                  </w:pPr>
                  <w:r>
                    <w:t xml:space="preserve">alcohol use</w:t>
                  </w:r>
                </w:p>
              </w:tc>
              <w:tc>
                <w:tcPr/>
                <w:p>
                  <w:pPr>
                    <w:pStyle w:val="Compact"/>
                    <w:jc w:val="left"/>
                    <w:jc w:val="center"/>
                  </w:pPr>
                  <w:r>
                    <w:t xml:space="preserve">Numeric</w:t>
                  </w:r>
                </w:p>
              </w:tc>
              <w:tc>
                <w:tcPr/>
                <w:p>
                  <w:pPr>
                    <w:pStyle w:val="Compact"/>
                  </w:pPr>
                </w:p>
              </w:tc>
              <w:tc>
                <w:tcPr/>
                <w:p>
                  <w:pPr>
                    <w:pStyle w:val="Compact"/>
                  </w:pPr>
                </w:p>
              </w:tc>
              <w:tc>
                <w:tcPr/>
                <w:p>
                  <w:pPr>
                    <w:pStyle w:val="Compact"/>
                    <w:jc w:val="right"/>
                    <w:jc w:val="center"/>
                  </w:pPr>
                  <w:r>
                    <w:t xml:space="preserve">1</w:t>
                  </w:r>
                </w:p>
              </w:tc>
            </w:tr>
            <w:tr>
              <w:tc>
                <w:tcPr/>
                <w:p>
                  <w:pPr>
                    <w:pStyle w:val="Compact"/>
                    <w:jc w:val="left"/>
                    <w:jc w:val="center"/>
                  </w:pPr>
                  <w:r>
                    <w:t xml:space="preserve">Number of group alcohol counseling sessions attended (past 30 days)</w:t>
                  </w:r>
                </w:p>
              </w:tc>
              <w:tc>
                <w:tcPr/>
                <w:p>
                  <w:pPr>
                    <w:pStyle w:val="Compact"/>
                    <w:jc w:val="left"/>
                    <w:jc w:val="center"/>
                  </w:pPr>
                  <w:r>
                    <w:t xml:space="preserve">alcohol use</w:t>
                  </w:r>
                </w:p>
              </w:tc>
              <w:tc>
                <w:tcPr/>
                <w:p>
                  <w:pPr>
                    <w:pStyle w:val="Compact"/>
                    <w:jc w:val="left"/>
                    <w:jc w:val="center"/>
                  </w:pPr>
                  <w:r>
                    <w:t xml:space="preserve">Numeric</w:t>
                  </w:r>
                </w:p>
              </w:tc>
              <w:tc>
                <w:tcPr/>
                <w:p>
                  <w:pPr>
                    <w:pStyle w:val="Compact"/>
                  </w:pPr>
                </w:p>
              </w:tc>
              <w:tc>
                <w:tcPr/>
                <w:p>
                  <w:pPr>
                    <w:pStyle w:val="Compact"/>
                  </w:pPr>
                </w:p>
              </w:tc>
              <w:tc>
                <w:tcPr/>
                <w:p>
                  <w:pPr>
                    <w:pStyle w:val="Compact"/>
                    <w:jc w:val="right"/>
                    <w:jc w:val="center"/>
                  </w:pPr>
                  <w:r>
                    <w:t xml:space="preserve">1</w:t>
                  </w:r>
                </w:p>
              </w:tc>
            </w:tr>
            <w:tr>
              <w:tc>
                <w:tcPr/>
                <w:p>
                  <w:pPr>
                    <w:pStyle w:val="Compact"/>
                    <w:jc w:val="left"/>
                    <w:jc w:val="center"/>
                  </w:pPr>
                  <w:r>
                    <w:t xml:space="preserve">Number of self-help group meetings attended (past 30 days)</w:t>
                  </w:r>
                </w:p>
              </w:tc>
              <w:tc>
                <w:tcPr/>
                <w:p>
                  <w:pPr>
                    <w:pStyle w:val="Compact"/>
                    <w:jc w:val="left"/>
                    <w:jc w:val="center"/>
                  </w:pPr>
                  <w:r>
                    <w:t xml:space="preserve">alcohol use</w:t>
                  </w:r>
                </w:p>
              </w:tc>
              <w:tc>
                <w:tcPr/>
                <w:p>
                  <w:pPr>
                    <w:pStyle w:val="Compact"/>
                    <w:jc w:val="left"/>
                    <w:jc w:val="center"/>
                  </w:pPr>
                  <w:r>
                    <w:t xml:space="preserve">Numeric</w:t>
                  </w:r>
                </w:p>
              </w:tc>
              <w:tc>
                <w:tcPr/>
                <w:p>
                  <w:pPr>
                    <w:pStyle w:val="Compact"/>
                  </w:pPr>
                </w:p>
              </w:tc>
              <w:tc>
                <w:tcPr/>
                <w:p>
                  <w:pPr>
                    <w:pStyle w:val="Compact"/>
                  </w:pPr>
                </w:p>
              </w:tc>
              <w:tc>
                <w:tcPr/>
                <w:p>
                  <w:pPr>
                    <w:pStyle w:val="Compact"/>
                    <w:jc w:val="right"/>
                    <w:jc w:val="center"/>
                  </w:pPr>
                  <w:r>
                    <w:t xml:space="preserve">1</w:t>
                  </w:r>
                </w:p>
              </w:tc>
            </w:tr>
            <w:tr>
              <w:tc>
                <w:tcPr/>
                <w:p>
                  <w:pPr>
                    <w:pStyle w:val="Compact"/>
                    <w:jc w:val="left"/>
                    <w:jc w:val="center"/>
                  </w:pPr>
                  <w:r>
                    <w:t xml:space="preserve">Number of other mental health counseling sessions attended (past 30 days)</w:t>
                  </w:r>
                </w:p>
              </w:tc>
              <w:tc>
                <w:tcPr/>
                <w:p>
                  <w:pPr>
                    <w:pStyle w:val="Compact"/>
                    <w:jc w:val="left"/>
                    <w:jc w:val="center"/>
                  </w:pPr>
                  <w:r>
                    <w:t xml:space="preserve">alcohol use</w:t>
                  </w:r>
                </w:p>
              </w:tc>
              <w:tc>
                <w:tcPr/>
                <w:p>
                  <w:pPr>
                    <w:pStyle w:val="Compact"/>
                    <w:jc w:val="left"/>
                    <w:jc w:val="center"/>
                  </w:pPr>
                  <w:r>
                    <w:t xml:space="preserve">Numeric</w:t>
                  </w:r>
                </w:p>
              </w:tc>
              <w:tc>
                <w:tcPr/>
                <w:p>
                  <w:pPr>
                    <w:pStyle w:val="Compact"/>
                  </w:pPr>
                </w:p>
              </w:tc>
              <w:tc>
                <w:tcPr/>
                <w:p>
                  <w:pPr>
                    <w:pStyle w:val="Compact"/>
                  </w:pPr>
                </w:p>
              </w:tc>
              <w:tc>
                <w:tcPr/>
                <w:p>
                  <w:pPr>
                    <w:pStyle w:val="Compact"/>
                    <w:jc w:val="right"/>
                    <w:jc w:val="center"/>
                  </w:pPr>
                  <w:r>
                    <w:t xml:space="preserve">1</w:t>
                  </w:r>
                </w:p>
              </w:tc>
            </w:tr>
            <w:tr>
              <w:tc>
                <w:tcPr/>
                <w:p>
                  <w:pPr>
                    <w:pStyle w:val="Compact"/>
                    <w:jc w:val="left"/>
                    <w:jc w:val="center"/>
                  </w:pPr>
                  <w:r>
                    <w:t xml:space="preserve">Number of days in contact with supportive people (past 30 days)</w:t>
                  </w:r>
                </w:p>
              </w:tc>
              <w:tc>
                <w:tcPr/>
                <w:p>
                  <w:pPr>
                    <w:pStyle w:val="Compact"/>
                    <w:jc w:val="left"/>
                    <w:jc w:val="center"/>
                  </w:pPr>
                  <w:r>
                    <w:t xml:space="preserve">alcohol use</w:t>
                  </w:r>
                </w:p>
              </w:tc>
              <w:tc>
                <w:tcPr/>
                <w:p>
                  <w:pPr>
                    <w:pStyle w:val="Compact"/>
                    <w:jc w:val="left"/>
                    <w:jc w:val="center"/>
                  </w:pPr>
                  <w:r>
                    <w:t xml:space="preserve">Numeric</w:t>
                  </w:r>
                </w:p>
              </w:tc>
              <w:tc>
                <w:tcPr/>
                <w:p>
                  <w:pPr>
                    <w:pStyle w:val="Compact"/>
                  </w:pPr>
                </w:p>
              </w:tc>
              <w:tc>
                <w:tcPr/>
                <w:p>
                  <w:pPr>
                    <w:pStyle w:val="Compact"/>
                  </w:pPr>
                </w:p>
              </w:tc>
              <w:tc>
                <w:tcPr/>
                <w:p>
                  <w:pPr>
                    <w:pStyle w:val="Compact"/>
                    <w:jc w:val="right"/>
                    <w:jc w:val="center"/>
                  </w:pPr>
                  <w:r>
                    <w:t xml:space="preserve">1</w:t>
                  </w:r>
                </w:p>
              </w:tc>
            </w:tr>
            <w:tr>
              <w:tc>
                <w:tcPr/>
                <w:p>
                  <w:pPr>
                    <w:pStyle w:val="Compact"/>
                    <w:jc w:val="left"/>
                    <w:jc w:val="center"/>
                  </w:pPr>
                  <w:r>
                    <w:t xml:space="preserve">Number of days in contact with unsupportive people (past 30 days)</w:t>
                  </w:r>
                </w:p>
              </w:tc>
              <w:tc>
                <w:tcPr/>
                <w:p>
                  <w:pPr>
                    <w:pStyle w:val="Compact"/>
                    <w:jc w:val="left"/>
                    <w:jc w:val="center"/>
                  </w:pPr>
                  <w:r>
                    <w:t xml:space="preserve">alcohol use</w:t>
                  </w:r>
                </w:p>
              </w:tc>
              <w:tc>
                <w:tcPr/>
                <w:p>
                  <w:pPr>
                    <w:pStyle w:val="Compact"/>
                    <w:jc w:val="left"/>
                    <w:jc w:val="center"/>
                  </w:pPr>
                  <w:r>
                    <w:t xml:space="preserve">Numeric</w:t>
                  </w:r>
                </w:p>
              </w:tc>
              <w:tc>
                <w:tcPr/>
                <w:p>
                  <w:pPr>
                    <w:pStyle w:val="Compact"/>
                  </w:pPr>
                </w:p>
              </w:tc>
              <w:tc>
                <w:tcPr/>
                <w:p>
                  <w:pPr>
                    <w:pStyle w:val="Compact"/>
                  </w:pPr>
                </w:p>
              </w:tc>
              <w:tc>
                <w:tcPr/>
                <w:p>
                  <w:pPr>
                    <w:pStyle w:val="Compact"/>
                    <w:jc w:val="right"/>
                    <w:jc w:val="center"/>
                  </w:pPr>
                  <w:r>
                    <w:t xml:space="preserve">1</w:t>
                  </w:r>
                </w:p>
              </w:tc>
            </w:tr>
            <w:tr>
              <w:tc>
                <w:tcPr/>
                <w:p>
                  <w:pPr>
                    <w:pStyle w:val="Compact"/>
                    <w:jc w:val="left"/>
                    <w:jc w:val="center"/>
                  </w:pPr>
                  <w:r>
                    <w:t xml:space="preserve">Taken prescribed medication for alcohol use disorder (past 30 days)</w:t>
                  </w:r>
                </w:p>
              </w:tc>
              <w:tc>
                <w:tcPr/>
                <w:p>
                  <w:pPr>
                    <w:pStyle w:val="Compact"/>
                    <w:jc w:val="left"/>
                    <w:jc w:val="center"/>
                  </w:pPr>
                  <w:r>
                    <w:t xml:space="preserve">alcohol use</w:t>
                  </w:r>
                </w:p>
              </w:tc>
              <w:tc>
                <w:tcPr/>
                <w:p>
                  <w:pPr>
                    <w:pStyle w:val="Compact"/>
                    <w:jc w:val="left"/>
                    <w:jc w:val="center"/>
                  </w:pPr>
                  <w:r>
                    <w:t xml:space="preserve">Yes, no</w:t>
                  </w:r>
                </w:p>
              </w:tc>
              <w:tc>
                <w:tcPr/>
                <w:p>
                  <w:pPr>
                    <w:pStyle w:val="Compact"/>
                    <w:jc w:val="left"/>
                    <w:jc w:val="center"/>
                  </w:pPr>
                  <w:r>
                    <w:t xml:space="preserve">One-hot coded</w:t>
                  </w:r>
                </w:p>
              </w:tc>
              <w:tc>
                <w:tcPr/>
                <w:p>
                  <w:pPr>
                    <w:pStyle w:val="Compact"/>
                  </w:pPr>
                </w:p>
              </w:tc>
              <w:tc>
                <w:tcPr/>
                <w:p>
                  <w:pPr>
                    <w:pStyle w:val="Compact"/>
                    <w:jc w:val="right"/>
                    <w:jc w:val="center"/>
                  </w:pPr>
                  <w:r>
                    <w:t xml:space="preserve">2</w:t>
                  </w:r>
                </w:p>
              </w:tc>
            </w:tr>
            <w:tr>
              <w:tc>
                <w:tcPr/>
                <w:p>
                  <w:pPr>
                    <w:pStyle w:val="Compact"/>
                    <w:jc w:val="left"/>
                    <w:jc w:val="center"/>
                  </w:pPr>
                  <w:r>
                    <w:t xml:space="preserve">Taken prescribed medication for other mental health disorder (past 30 days)</w:t>
                  </w:r>
                </w:p>
              </w:tc>
              <w:tc>
                <w:tcPr/>
                <w:p>
                  <w:pPr>
                    <w:pStyle w:val="Compact"/>
                    <w:jc w:val="left"/>
                    <w:jc w:val="center"/>
                  </w:pPr>
                  <w:r>
                    <w:t xml:space="preserve">alcohol use</w:t>
                  </w:r>
                </w:p>
              </w:tc>
              <w:tc>
                <w:tcPr/>
                <w:p>
                  <w:pPr>
                    <w:pStyle w:val="Compact"/>
                    <w:jc w:val="left"/>
                    <w:jc w:val="center"/>
                  </w:pPr>
                  <w:r>
                    <w:t xml:space="preserve">Yes, no</w:t>
                  </w:r>
                </w:p>
              </w:tc>
              <w:tc>
                <w:tcPr/>
                <w:p>
                  <w:pPr>
                    <w:pStyle w:val="Compact"/>
                    <w:jc w:val="left"/>
                    <w:jc w:val="center"/>
                  </w:pPr>
                  <w:r>
                    <w:t xml:space="preserve">One-hot coded</w:t>
                  </w:r>
                </w:p>
              </w:tc>
              <w:tc>
                <w:tcPr/>
                <w:p>
                  <w:pPr>
                    <w:pStyle w:val="Compact"/>
                  </w:pPr>
                </w:p>
              </w:tc>
              <w:tc>
                <w:tcPr/>
                <w:p>
                  <w:pPr>
                    <w:pStyle w:val="Compact"/>
                    <w:jc w:val="right"/>
                    <w:jc w:val="center"/>
                  </w:pPr>
                  <w:r>
                    <w:t xml:space="preserve">2</w:t>
                  </w:r>
                </w:p>
              </w:tc>
            </w:tr>
            <w:tr>
              <w:tc>
                <w:tcPr/>
                <w:p>
                  <w:pPr>
                    <w:pStyle w:val="Compact"/>
                    <w:jc w:val="left"/>
                    <w:jc w:val="center"/>
                  </w:pPr>
                  <w:r>
                    <w:t xml:space="preserve">Satisfaction with progress toward recovery goals (past 30 days)</w:t>
                  </w:r>
                </w:p>
              </w:tc>
              <w:tc>
                <w:tcPr/>
                <w:p>
                  <w:pPr>
                    <w:pStyle w:val="Compact"/>
                    <w:jc w:val="left"/>
                    <w:jc w:val="center"/>
                  </w:pPr>
                  <w:r>
                    <w:t xml:space="preserve">alcohol use</w:t>
                  </w:r>
                </w:p>
              </w:tc>
              <w:tc>
                <w:tcPr/>
                <w:p>
                  <w:pPr>
                    <w:pStyle w:val="Compact"/>
                    <w:jc w:val="left"/>
                    <w:jc w:val="center"/>
                  </w:pPr>
                  <w:r>
                    <w:t xml:space="preserve">Numeric (0-4)</w:t>
                  </w:r>
                </w:p>
              </w:tc>
              <w:tc>
                <w:tcPr/>
                <w:p>
                  <w:pPr>
                    <w:pStyle w:val="Compact"/>
                  </w:pPr>
                </w:p>
              </w:tc>
              <w:tc>
                <w:tcPr/>
                <w:p>
                  <w:pPr>
                    <w:pStyle w:val="Compact"/>
                  </w:pPr>
                </w:p>
              </w:tc>
              <w:tc>
                <w:tcPr/>
                <w:p>
                  <w:pPr>
                    <w:pStyle w:val="Compact"/>
                    <w:jc w:val="right"/>
                    <w:jc w:val="center"/>
                  </w:pPr>
                  <w:r>
                    <w:t xml:space="preserve">1</w:t>
                  </w:r>
                </w:p>
              </w:tc>
            </w:tr>
            <w:tr>
              <w:tc>
                <w:tcPr/>
                <w:p>
                  <w:pPr>
                    <w:pStyle w:val="Compact"/>
                    <w:jc w:val="left"/>
                    <w:jc w:val="center"/>
                  </w:pPr>
                  <w:r>
                    <w:t xml:space="preserve">Confidence in abstinence ability (next 30 days)</w:t>
                  </w:r>
                </w:p>
              </w:tc>
              <w:tc>
                <w:tcPr/>
                <w:p>
                  <w:pPr>
                    <w:pStyle w:val="Compact"/>
                    <w:jc w:val="left"/>
                    <w:jc w:val="center"/>
                  </w:pPr>
                  <w:r>
                    <w:t xml:space="preserve">alcohol use</w:t>
                  </w:r>
                </w:p>
              </w:tc>
              <w:tc>
                <w:tcPr/>
                <w:p>
                  <w:pPr>
                    <w:pStyle w:val="Compact"/>
                    <w:jc w:val="left"/>
                    <w:jc w:val="center"/>
                  </w:pPr>
                  <w:r>
                    <w:t xml:space="preserve">Numeric (0-4)</w:t>
                  </w:r>
                </w:p>
              </w:tc>
              <w:tc>
                <w:tcPr/>
                <w:p>
                  <w:pPr>
                    <w:pStyle w:val="Compact"/>
                  </w:pPr>
                </w:p>
              </w:tc>
              <w:tc>
                <w:tcPr/>
                <w:p>
                  <w:pPr>
                    <w:pStyle w:val="Compact"/>
                  </w:pPr>
                </w:p>
              </w:tc>
              <w:tc>
                <w:tcPr/>
                <w:p>
                  <w:pPr>
                    <w:pStyle w:val="Compact"/>
                    <w:jc w:val="right"/>
                    <w:jc w:val="center"/>
                  </w:pPr>
                  <w:r>
                    <w:t xml:space="preserve">1</w:t>
                  </w:r>
                </w:p>
              </w:tc>
            </w:tr>
            <w:tr>
              <w:tc>
                <w:tcPr/>
                <w:p>
                  <w:pPr>
                    <w:pStyle w:val="Compact"/>
                    <w:jc w:val="left"/>
                    <w:jc w:val="center"/>
                  </w:pPr>
                  <w:r>
                    <w:t xml:space="preserve">Has a goal of abstinence</w:t>
                  </w:r>
                </w:p>
              </w:tc>
              <w:tc>
                <w:tcPr/>
                <w:p>
                  <w:pPr>
                    <w:pStyle w:val="Compact"/>
                    <w:jc w:val="left"/>
                    <w:jc w:val="center"/>
                  </w:pPr>
                  <w:r>
                    <w:t xml:space="preserve">alcohol use</w:t>
                  </w:r>
                </w:p>
              </w:tc>
              <w:tc>
                <w:tcPr/>
                <w:p>
                  <w:pPr>
                    <w:pStyle w:val="Compact"/>
                    <w:jc w:val="left"/>
                    <w:jc w:val="center"/>
                  </w:pPr>
                  <w:r>
                    <w:t xml:space="preserve">Yes, no, uncertain</w:t>
                  </w:r>
                </w:p>
              </w:tc>
              <w:tc>
                <w:tcPr/>
                <w:p>
                  <w:pPr>
                    <w:pStyle w:val="Compact"/>
                    <w:jc w:val="left"/>
                    <w:jc w:val="center"/>
                  </w:pPr>
                  <w:r>
                    <w:t xml:space="preserve">One-hot coded</w:t>
                  </w:r>
                </w:p>
              </w:tc>
              <w:tc>
                <w:tcPr/>
                <w:p>
                  <w:pPr>
                    <w:pStyle w:val="Compact"/>
                  </w:pPr>
                </w:p>
              </w:tc>
              <w:tc>
                <w:tcPr/>
                <w:p>
                  <w:pPr>
                    <w:pStyle w:val="Compact"/>
                    <w:jc w:val="right"/>
                    <w:jc w:val="center"/>
                  </w:pPr>
                  <w:r>
                    <w:t xml:space="preserve">3</w:t>
                  </w:r>
                </w:p>
              </w:tc>
            </w:tr>
            <w:tr>
              <w:tc>
                <w:tcPr/>
                <w:p>
                  <w:pPr>
                    <w:pStyle w:val="Compact"/>
                    <w:jc w:val="left"/>
                    <w:jc w:val="center"/>
                  </w:pPr>
                  <w:r>
                    <w:t xml:space="preserve">Personality dimensions (positive emotionality, negative emotionality, and constraint)</w:t>
                  </w:r>
                </w:p>
              </w:tc>
              <w:tc>
                <w:tcPr/>
                <w:p>
                  <w:pPr>
                    <w:pStyle w:val="Compact"/>
                    <w:jc w:val="left"/>
                    <w:jc w:val="center"/>
                  </w:pPr>
                  <w:r>
                    <w:t xml:space="preserve">personality and psychiatric</w:t>
                  </w:r>
                </w:p>
              </w:tc>
              <w:tc>
                <w:tcPr/>
                <w:p>
                  <w:pPr>
                    <w:pStyle w:val="Compact"/>
                    <w:jc w:val="left"/>
                    <w:jc w:val="center"/>
                  </w:pPr>
                  <w:r>
                    <w:t xml:space="preserve">Numeric</w:t>
                  </w:r>
                </w:p>
              </w:tc>
              <w:tc>
                <w:tcPr/>
                <w:p>
                  <w:pPr>
                    <w:pStyle w:val="Compact"/>
                  </w:pPr>
                </w:p>
              </w:tc>
              <w:tc>
                <w:tcPr/>
                <w:p>
                  <w:pPr>
                    <w:pStyle w:val="Compact"/>
                  </w:pPr>
                </w:p>
              </w:tc>
              <w:tc>
                <w:tcPr/>
                <w:p>
                  <w:pPr>
                    <w:pStyle w:val="Compact"/>
                    <w:jc w:val="right"/>
                    <w:jc w:val="center"/>
                  </w:pPr>
                  <w:r>
                    <w:t xml:space="preserve">3</w:t>
                  </w:r>
                </w:p>
              </w:tc>
            </w:tr>
            <w:tr>
              <w:tc>
                <w:tcPr/>
                <w:p>
                  <w:pPr>
                    <w:pStyle w:val="Compact"/>
                    <w:jc w:val="left"/>
                    <w:jc w:val="center"/>
                  </w:pPr>
                  <w:r>
                    <w:t xml:space="preserve">Psychiatric conditions (depression, anxiety, and stress)</w:t>
                  </w:r>
                </w:p>
              </w:tc>
              <w:tc>
                <w:tcPr/>
                <w:p>
                  <w:pPr>
                    <w:pStyle w:val="Compact"/>
                    <w:jc w:val="left"/>
                    <w:jc w:val="center"/>
                  </w:pPr>
                  <w:r>
                    <w:t xml:space="preserve">personality and psychiatric</w:t>
                  </w:r>
                </w:p>
              </w:tc>
              <w:tc>
                <w:tcPr/>
                <w:p>
                  <w:pPr>
                    <w:pStyle w:val="Compact"/>
                    <w:jc w:val="left"/>
                    <w:jc w:val="center"/>
                  </w:pPr>
                  <w:r>
                    <w:t xml:space="preserve">Numeric</w:t>
                  </w:r>
                </w:p>
              </w:tc>
              <w:tc>
                <w:tcPr/>
                <w:p>
                  <w:pPr>
                    <w:pStyle w:val="Compact"/>
                  </w:pPr>
                </w:p>
              </w:tc>
              <w:tc>
                <w:tcPr/>
                <w:p>
                  <w:pPr>
                    <w:pStyle w:val="Compact"/>
                  </w:pPr>
                </w:p>
              </w:tc>
              <w:tc>
                <w:tcPr/>
                <w:p>
                  <w:pPr>
                    <w:pStyle w:val="Compact"/>
                    <w:jc w:val="right"/>
                    <w:jc w:val="center"/>
                  </w:pPr>
                  <w:r>
                    <w:t xml:space="preserve">3</w:t>
                  </w:r>
                </w:p>
              </w:tc>
            </w:tr>
            <w:tr>
              <w:tc>
                <w:tcPr/>
                <w:p>
                  <w:pPr>
                    <w:pStyle w:val="Compact"/>
                    <w:jc w:val="left"/>
                    <w:jc w:val="center"/>
                  </w:pPr>
                  <w:r>
                    <w:t xml:space="preserve">Note:</w:t>
                  </w:r>
                  <w:r>
                    <w:t xml:space="preserve"> </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 </w:t>
                  </w:r>
                  <w:r>
                    <w:t xml:space="preserve">Cellular communication features were scored over two feature scoring epochs (24 and 168 hours before the start of the prediction window). Within each feature scoring epoch we calculated two types of features: raw and difference features. Raw features represent the raw feature value calculated within a scoring epoch (e.g., the rate count of text messages during the 24 hours immediately preceding the start of the prediction window). Difference features capture participant-level changes from their baseline scores (e.g., the participant’s average rate count of text messages across all time on study subtracted from the rate count in the preceding 24 hours).</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jc w:val="center"/>
            </w:pPr>
            <w:pPr>
              <w:jc w:val="left"/>
              <w:spacing w:before="200"/>
              <w:pStyle w:val="ImageCaption"/>
            </w:pPr>
            <w:r>
              <w:t xml:space="preserve">Table 1: Raw Predictors, Response Options, Feature Engineering Methods, Feature Scoring Epochs and Total Number of Features for each feature set.</w:t>
            </w:r>
          </w:p>
          <w:bookmarkEnd w:id="17"/>
        </w:tc>
      </w:tr>
    </w:tbl>
    <w:p>
      <w:pPr>
        <w:pStyle w:val="BodyText"/>
      </w:pPr>
      <w:r>
        <w:rPr>
          <w:vertAlign w:val="subscript"/>
        </w:rPr>
        <w:t xml:space="preserve">Source:</w:t>
      </w:r>
      <w:r>
        <w:rPr>
          <w:vertAlign w:val="subscript"/>
        </w:rPr>
        <w:t xml:space="preserve"> </w:t>
      </w:r>
      <w:hyperlink r:id="rId18">
        <w:r>
          <w:rPr>
            <w:rStyle w:val="Hyperlink"/>
            <w:vertAlign w:val="subscript"/>
          </w:rPr>
          <w:t xml:space="preserve">Make All Tables for Main Manuscript</w:t>
        </w:r>
      </w:hyperlink>
    </w:p>
    <w:bookmarkEnd w:id="19"/>
    <w:bookmarkStart w:id="20" w:name="model-selection"/>
    <w:p>
      <w:pPr>
        <w:pStyle w:val="Heading3"/>
      </w:pPr>
      <w:r>
        <w:t xml:space="preserve">Model Selection</w:t>
      </w:r>
    </w:p>
    <w:p>
      <w:pPr>
        <w:pStyle w:val="FirstParagraph"/>
      </w:pPr>
      <w:r>
        <w:t xml:space="preserve">We included three candidate statistical algorithms in our model configurations: elastic net, random forest, and XGBoost. These algorithms differ in key ways related to flexibility, complexity, and their ability to accommodate non-linear and interactive relationships between features and lapse probability. Random forest and XGBoost algorithms can natively handle interactions, whereas elastic net assumes an additive data generating process. Thus, if true interactions exist between features, we would expect one of these tree-based methods to yield the best performance. However, if relationships are primarily additive, elastic net may perform better. Model configurations also differed on outcome resampling method (i.e., up-sampling and down-sampling of the outcome at ratios ranging from 5:1 to 1:1), hyperparameter values, and feature set.</w:t>
      </w:r>
    </w:p>
    <w:p>
      <w:pPr>
        <w:pStyle w:val="BodyText"/>
      </w:pPr>
      <w:r>
        <w:t xml:space="preserve">We selected three final models. We selected the best performing full model that included all four feature sets (cellular communications, demographics, alcohol use characteristics, and psychiatric/personality characteristics). Because our feature set of interest was cellular communications we only selected configurations that retained this feature set. We selected the best performing baseline model that included our three baseline feature sets (demographics, alcohol use characteristics, and psychiatric/personality characteristics) to assess the incremental predictive value of cellular communication beyond these baseline measures. Finally, we selected the best performing cellular communication model that included only the cellular communication feature set to evaluate the predictive signal captured in these features.</w:t>
      </w:r>
    </w:p>
    <w:p>
      <w:pPr>
        <w:pStyle w:val="BodyText"/>
      </w:pPr>
      <w:r>
        <w:t xml:space="preserve">The best configuration for each of these models was selected using 6 repeats of 5-fold cross-validation. Participants were grouped so that all of their data were always in the held-in or held-out fold for a split, but never in both. Our performance metric was area under the receiver operating curve (auROC). Folds were stratified so that all folds contained comparable proportions of individuals who lapsed frequently (i.e., 10+ times).</w:t>
      </w:r>
    </w:p>
    <w:bookmarkEnd w:id="20"/>
    <w:bookmarkStart w:id="21" w:name="model-evaluation"/>
    <w:p>
      <w:pPr>
        <w:pStyle w:val="Heading3"/>
      </w:pPr>
      <w:r>
        <w:t xml:space="preserve">Model Evaluation</w:t>
      </w:r>
    </w:p>
    <w:p>
      <w:pPr>
        <w:pStyle w:val="FirstParagraph"/>
      </w:pPr>
      <w:r>
        <w:t xml:space="preserve">We evaluated model performance for our three final models (full model, baseline model, cellular communication model) using a Bayesian hierarchical generalized linear model. Posterior distributions with 95% credible intervals (CI) were estimated from the 30 held-out folds using weakly informative, data-dependent priors to regularize and reduce overfitting: Residual SD ~ normal(0, exp(2)); intercept (centered predictors) ~ normal(2.3, 1.3); window-width contrasts ~ normal(0, 2.69); covariance ~ decov(1,1,1,1). Random intercepts were included for repeat and fold (nested within repeat). auROCs were logit-transformed and regressed on model type to estimate the probability that model performances differed systematically.</w:t>
      </w:r>
      <w:r>
        <w:t xml:space="preserve"> </w:t>
      </w:r>
    </w:p>
    <w:p>
      <w:pPr>
        <w:pStyle w:val="BodyText"/>
      </w:pPr>
      <w:r>
        <w:t xml:space="preserve">We refit our full and cellular communication model on the entire data set to identify the most important features. We quantified feature importance by examining the retained features (i.e., coefficient value &gt; 0) in our final elastic net model and ordering them by absolute coefficient value. These values provide an estimate of the direction and magnitude of association between each predictor and the outcome, conditional on the other features retained. We plotted coefficients for both models to visualize whether descriptive differences in retained cellular communication features existed when controlling for other baseline features compared to not controlling for baseline features.</w:t>
      </w:r>
    </w:p>
    <w:bookmarkEnd w:id="21"/>
    <w:bookmarkEnd w:id="22"/>
    <w:bookmarkEnd w:id="23"/>
    <w:bookmarkStart w:id="34" w:name="results"/>
    <w:p>
      <w:pPr>
        <w:pStyle w:val="Heading1"/>
      </w:pPr>
      <w:r>
        <w:t xml:space="preserve">Results</w:t>
      </w:r>
    </w:p>
    <w:bookmarkStart w:id="26" w:name="participants"/>
    <w:p>
      <w:pPr>
        <w:pStyle w:val="Heading2"/>
      </w:pPr>
      <w:r>
        <w:t xml:space="preserve">Participants</w:t>
      </w:r>
    </w:p>
    <w:p>
      <w:pPr>
        <w:pStyle w:val="FirstParagraph"/>
      </w:pPr>
      <w:r>
        <w:t xml:space="preserve">We enrolled 169 participants. Of these, 151 completed the first follow-up visit where the first cellular communication log download occurred. We excluded data from seven participants due to poor compliance providing communication data (i.e., deleting logs prior to the download or not providing context information about important contacts). The final analytic sample included 144 participants.</w:t>
      </w:r>
      <w:r>
        <w:t xml:space="preserve"> </w:t>
      </w:r>
      <w:hyperlink w:anchor="tbl-2">
        <w:r>
          <w:rPr>
            <w:rStyle w:val="Hyperlink"/>
          </w:rPr>
          <w:t xml:space="preserve">Table 2</w:t>
        </w:r>
      </w:hyperlink>
      <w:r>
        <w:t xml:space="preserve"> </w:t>
      </w:r>
      <w:r>
        <w:t xml:space="preserve">provides the demographic characterization of our sample. 56% of participants reported at least one lapse while on study.</w:t>
      </w:r>
    </w:p>
    <w:tbl>
      <w:tblPr>
        <w:tblStyle w:val="Table"/>
        <w:tblW w:type="pct" w:w="5000"/>
        <w:tblLayout w:type="fixed"/>
        <w:tblLook w:firstRow="0" w:lastRow="0" w:firstColumn="0" w:lastColumn="0" w:noHBand="0" w:noVBand="0" w:val="0000"/>
      </w:tblPr>
      <w:tblGrid>
        <w:gridCol w:w="7920"/>
      </w:tblGrid>
      <w:tr>
        <w:tc>
          <w:tcPr/>
          <w:bookmarkStart w:id="24" w:name="tbl-2"/>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right"/>
                    <w:jc w:val="center"/>
                  </w:pPr>
                  <w:r>
                    <w:t xml:space="preserve">N</w:t>
                  </w:r>
                </w:p>
              </w:tc>
              <w:tc>
                <w:tcPr/>
                <w:p>
                  <w:pPr>
                    <w:pStyle w:val="Compact"/>
                    <w:jc w:val="right"/>
                    <w:jc w:val="center"/>
                  </w:pPr>
                  <w:r>
                    <w:t xml:space="preserve">%</w:t>
                  </w:r>
                </w:p>
              </w:tc>
              <w:tc>
                <w:tcPr/>
                <w:p>
                  <w:pPr>
                    <w:pStyle w:val="Compact"/>
                    <w:jc w:val="left"/>
                    <w:jc w:val="center"/>
                  </w:pPr>
                  <w:r>
                    <w:t xml:space="preserve">M</w:t>
                  </w:r>
                </w:p>
              </w:tc>
              <w:tc>
                <w:tcPr/>
                <w:p>
                  <w:pPr>
                    <w:pStyle w:val="Compact"/>
                    <w:jc w:val="left"/>
                    <w:jc w:val="center"/>
                  </w:pPr>
                  <w:r>
                    <w:t xml:space="preserve">SD</w:t>
                  </w:r>
                </w:p>
              </w:tc>
              <w:tc>
                <w:tcPr/>
                <w:p>
                  <w:pPr>
                    <w:pStyle w:val="Compact"/>
                    <w:jc w:val="left"/>
                    <w:jc w:val="center"/>
                  </w:pPr>
                  <w:r>
                    <w:t xml:space="preserve">Range</w:t>
                  </w:r>
                </w:p>
              </w:tc>
            </w:tr>
            <w:tr>
              <w:tc>
                <w:tcPr/>
                <w:p>
                  <w:pPr>
                    <w:pStyle w:val="Compact"/>
                    <w:jc w:val="left"/>
                    <w:jc w:val="center"/>
                  </w:pPr>
                  <w:r>
                    <w:t xml:space="preserve">Age</w:t>
                  </w:r>
                </w:p>
              </w:tc>
              <w:tc>
                <w:tcPr/>
                <w:p>
                  <w:pPr>
                    <w:pStyle w:val="Compact"/>
                  </w:pPr>
                </w:p>
              </w:tc>
              <w:tc>
                <w:tcPr/>
                <w:p>
                  <w:pPr>
                    <w:pStyle w:val="Compact"/>
                  </w:pPr>
                </w:p>
              </w:tc>
              <w:tc>
                <w:tcPr/>
                <w:p>
                  <w:pPr>
                    <w:pStyle w:val="Compact"/>
                    <w:jc w:val="left"/>
                    <w:jc w:val="center"/>
                  </w:pPr>
                  <w:r>
                    <w:t xml:space="preserve">40.4</w:t>
                  </w:r>
                </w:p>
              </w:tc>
              <w:tc>
                <w:tcPr/>
                <w:p>
                  <w:pPr>
                    <w:pStyle w:val="Compact"/>
                    <w:jc w:val="left"/>
                    <w:jc w:val="center"/>
                  </w:pPr>
                  <w:r>
                    <w:t xml:space="preserve">11.8</w:t>
                  </w:r>
                </w:p>
              </w:tc>
              <w:tc>
                <w:tcPr/>
                <w:p>
                  <w:pPr>
                    <w:pStyle w:val="Compact"/>
                    <w:jc w:val="left"/>
                    <w:jc w:val="center"/>
                  </w:pPr>
                  <w:r>
                    <w:t xml:space="preserve">21-72</w:t>
                  </w:r>
                </w:p>
              </w:tc>
            </w:tr>
            <w:tr>
              <w:tc>
                <w:tcPr/>
                <w:p>
                  <w:pPr>
                    <w:pStyle w:val="Compact"/>
                    <w:jc w:val="left"/>
                    <w:jc w:val="center"/>
                  </w:pPr>
                  <w:r>
                    <w:t xml:space="preserve">Sex at Birth</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6"/>
                </w:tcPr>
                <w:p>
                  <w:pPr>
                    <w:pStyle w:val="Compact"/>
                    <w:jc w:val="left"/>
                    <w:jc w:val="center"/>
                  </w:pPr>
                </w:p>
              </w:tc>
            </w:tr>
            <w:tr>
              <w:tc>
                <w:tcPr/>
                <w:p>
                  <w:pPr>
                    <w:pStyle w:val="Compact"/>
                    <w:jc w:val="left"/>
                    <w:jc w:val="center"/>
                  </w:pPr>
                  <w:r>
                    <w:t xml:space="preserve">Female</w:t>
                  </w:r>
                </w:p>
              </w:tc>
              <w:tc>
                <w:tcPr/>
                <w:p>
                  <w:pPr>
                    <w:pStyle w:val="Compact"/>
                    <w:jc w:val="right"/>
                    <w:jc w:val="center"/>
                  </w:pPr>
                  <w:r>
                    <w:t xml:space="preserve">74</w:t>
                  </w:r>
                </w:p>
              </w:tc>
              <w:tc>
                <w:tcPr/>
                <w:p>
                  <w:pPr>
                    <w:pStyle w:val="Compact"/>
                    <w:jc w:val="right"/>
                    <w:jc w:val="center"/>
                  </w:pPr>
                  <w:r>
                    <w:t xml:space="preserve">51.4</w:t>
                  </w:r>
                </w:p>
              </w:tc>
              <w:tc>
                <w:tcPr/>
                <w:p>
                  <w:pPr>
                    <w:pStyle w:val="Compact"/>
                  </w:pPr>
                </w:p>
              </w:tc>
              <w:tc>
                <w:tcPr/>
                <w:p>
                  <w:pPr>
                    <w:pStyle w:val="Compact"/>
                  </w:pPr>
                </w:p>
              </w:tc>
              <w:tc>
                <w:tcPr/>
                <w:p>
                  <w:pPr>
                    <w:pStyle w:val="Compact"/>
                  </w:pPr>
                </w:p>
              </w:tc>
            </w:tr>
            <w:tr>
              <w:tc>
                <w:tcPr/>
                <w:p>
                  <w:pPr>
                    <w:pStyle w:val="Compact"/>
                    <w:jc w:val="left"/>
                    <w:jc w:val="center"/>
                  </w:pPr>
                  <w:r>
                    <w:t xml:space="preserve">Male</w:t>
                  </w:r>
                </w:p>
              </w:tc>
              <w:tc>
                <w:tcPr/>
                <w:p>
                  <w:pPr>
                    <w:pStyle w:val="Compact"/>
                    <w:jc w:val="right"/>
                    <w:jc w:val="center"/>
                  </w:pPr>
                  <w:r>
                    <w:t xml:space="preserve">70</w:t>
                  </w:r>
                </w:p>
              </w:tc>
              <w:tc>
                <w:tcPr/>
                <w:p>
                  <w:pPr>
                    <w:pStyle w:val="Compact"/>
                    <w:jc w:val="right"/>
                    <w:jc w:val="center"/>
                  </w:pPr>
                  <w:r>
                    <w:t xml:space="preserve">48.6</w:t>
                  </w:r>
                </w:p>
              </w:tc>
              <w:tc>
                <w:tcPr/>
                <w:p>
                  <w:pPr>
                    <w:pStyle w:val="Compact"/>
                  </w:pPr>
                </w:p>
              </w:tc>
              <w:tc>
                <w:tcPr/>
                <w:p>
                  <w:pPr>
                    <w:pStyle w:val="Compact"/>
                  </w:pPr>
                </w:p>
              </w:tc>
              <w:tc>
                <w:tcPr/>
                <w:p>
                  <w:pPr>
                    <w:pStyle w:val="Compact"/>
                  </w:pPr>
                </w:p>
              </w:tc>
            </w:tr>
            <w:tr>
              <w:tc>
                <w:tcPr/>
                <w:p>
                  <w:pPr>
                    <w:pStyle w:val="Compact"/>
                    <w:jc w:val="left"/>
                    <w:jc w:val="center"/>
                  </w:pPr>
                  <w:r>
                    <w:t xml:space="preserve">Race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6"/>
                </w:tcPr>
                <w:p>
                  <w:pPr>
                    <w:pStyle w:val="Compact"/>
                    <w:jc w:val="left"/>
                    <w:jc w:val="center"/>
                  </w:pPr>
                </w:p>
              </w:tc>
            </w:tr>
            <w:tr>
              <w:tc>
                <w:tcPr/>
                <w:p>
                  <w:pPr>
                    <w:pStyle w:val="Compact"/>
                    <w:jc w:val="left"/>
                    <w:jc w:val="center"/>
                  </w:pPr>
                  <w:r>
                    <w:t xml:space="preserve">American Indian/Alaska Native</w:t>
                  </w:r>
                </w:p>
              </w:tc>
              <w:tc>
                <w:tcPr/>
                <w:p>
                  <w:pPr>
                    <w:pStyle w:val="Compact"/>
                    <w:jc w:val="right"/>
                    <w:jc w:val="center"/>
                  </w:pPr>
                  <w:r>
                    <w:t xml:space="preserve">3</w:t>
                  </w:r>
                </w:p>
              </w:tc>
              <w:tc>
                <w:tcPr/>
                <w:p>
                  <w:pPr>
                    <w:pStyle w:val="Compact"/>
                    <w:jc w:val="right"/>
                    <w:jc w:val="center"/>
                  </w:pPr>
                  <w:r>
                    <w:t xml:space="preserve">2.1</w:t>
                  </w:r>
                </w:p>
              </w:tc>
              <w:tc>
                <w:tcPr/>
                <w:p>
                  <w:pPr>
                    <w:pStyle w:val="Compact"/>
                  </w:pPr>
                </w:p>
              </w:tc>
              <w:tc>
                <w:tcPr/>
                <w:p>
                  <w:pPr>
                    <w:pStyle w:val="Compact"/>
                  </w:pPr>
                </w:p>
              </w:tc>
              <w:tc>
                <w:tcPr/>
                <w:p>
                  <w:pPr>
                    <w:pStyle w:val="Compact"/>
                  </w:pPr>
                </w:p>
              </w:tc>
            </w:tr>
            <w:tr>
              <w:tc>
                <w:tcPr/>
                <w:p>
                  <w:pPr>
                    <w:pStyle w:val="Compact"/>
                    <w:jc w:val="left"/>
                    <w:jc w:val="center"/>
                  </w:pPr>
                  <w:r>
                    <w:t xml:space="preserve">Asian</w:t>
                  </w:r>
                </w:p>
              </w:tc>
              <w:tc>
                <w:tcPr/>
                <w:p>
                  <w:pPr>
                    <w:pStyle w:val="Compact"/>
                    <w:jc w:val="right"/>
                    <w:jc w:val="center"/>
                  </w:pPr>
                  <w:r>
                    <w:t xml:space="preserve">2</w:t>
                  </w:r>
                </w:p>
              </w:tc>
              <w:tc>
                <w:tcPr/>
                <w:p>
                  <w:pPr>
                    <w:pStyle w:val="Compact"/>
                    <w:jc w:val="right"/>
                    <w:jc w:val="center"/>
                  </w:pPr>
                  <w:r>
                    <w:t xml:space="preserve">1.4</w:t>
                  </w:r>
                </w:p>
              </w:tc>
              <w:tc>
                <w:tcPr/>
                <w:p>
                  <w:pPr>
                    <w:pStyle w:val="Compact"/>
                  </w:pPr>
                </w:p>
              </w:tc>
              <w:tc>
                <w:tcPr/>
                <w:p>
                  <w:pPr>
                    <w:pStyle w:val="Compact"/>
                  </w:pPr>
                </w:p>
              </w:tc>
              <w:tc>
                <w:tcPr/>
                <w:p>
                  <w:pPr>
                    <w:pStyle w:val="Compact"/>
                  </w:pPr>
                </w:p>
              </w:tc>
            </w:tr>
            <w:tr>
              <w:tc>
                <w:tcPr/>
                <w:p>
                  <w:pPr>
                    <w:pStyle w:val="Compact"/>
                    <w:jc w:val="left"/>
                    <w:jc w:val="center"/>
                  </w:pPr>
                  <w:r>
                    <w:t xml:space="preserve">Black/African American</w:t>
                  </w:r>
                </w:p>
              </w:tc>
              <w:tc>
                <w:tcPr/>
                <w:p>
                  <w:pPr>
                    <w:pStyle w:val="Compact"/>
                    <w:jc w:val="right"/>
                    <w:jc w:val="center"/>
                  </w:pPr>
                  <w:r>
                    <w:t xml:space="preserve">8</w:t>
                  </w:r>
                </w:p>
              </w:tc>
              <w:tc>
                <w:tcPr/>
                <w:p>
                  <w:pPr>
                    <w:pStyle w:val="Compact"/>
                    <w:jc w:val="right"/>
                    <w:jc w:val="center"/>
                  </w:pPr>
                  <w:r>
                    <w:t xml:space="preserve">5.6</w:t>
                  </w:r>
                </w:p>
              </w:tc>
              <w:tc>
                <w:tcPr/>
                <w:p>
                  <w:pPr>
                    <w:pStyle w:val="Compact"/>
                  </w:pPr>
                </w:p>
              </w:tc>
              <w:tc>
                <w:tcPr/>
                <w:p>
                  <w:pPr>
                    <w:pStyle w:val="Compact"/>
                  </w:pPr>
                </w:p>
              </w:tc>
              <w:tc>
                <w:tcPr/>
                <w:p>
                  <w:pPr>
                    <w:pStyle w:val="Compact"/>
                  </w:pPr>
                </w:p>
              </w:tc>
            </w:tr>
            <w:tr>
              <w:tc>
                <w:tcPr/>
                <w:p>
                  <w:pPr>
                    <w:pStyle w:val="Compact"/>
                    <w:jc w:val="left"/>
                    <w:jc w:val="center"/>
                  </w:pPr>
                  <w:r>
                    <w:t xml:space="preserve">White/Caucasian</w:t>
                  </w:r>
                </w:p>
              </w:tc>
              <w:tc>
                <w:tcPr/>
                <w:p>
                  <w:pPr>
                    <w:pStyle w:val="Compact"/>
                    <w:jc w:val="right"/>
                    <w:jc w:val="center"/>
                  </w:pPr>
                  <w:r>
                    <w:t xml:space="preserve">125</w:t>
                  </w:r>
                </w:p>
              </w:tc>
              <w:tc>
                <w:tcPr/>
                <w:p>
                  <w:pPr>
                    <w:pStyle w:val="Compact"/>
                    <w:jc w:val="right"/>
                    <w:jc w:val="center"/>
                  </w:pPr>
                  <w:r>
                    <w:t xml:space="preserve">86.8</w:t>
                  </w:r>
                </w:p>
              </w:tc>
              <w:tc>
                <w:tcPr/>
                <w:p>
                  <w:pPr>
                    <w:pStyle w:val="Compact"/>
                  </w:pPr>
                </w:p>
              </w:tc>
              <w:tc>
                <w:tcPr/>
                <w:p>
                  <w:pPr>
                    <w:pStyle w:val="Compact"/>
                  </w:pPr>
                </w:p>
              </w:tc>
              <w:tc>
                <w:tcPr/>
                <w:p>
                  <w:pPr>
                    <w:pStyle w:val="Compact"/>
                  </w:pPr>
                </w:p>
              </w:tc>
            </w:tr>
            <w:tr>
              <w:tc>
                <w:tcPr/>
                <w:p>
                  <w:pPr>
                    <w:pStyle w:val="Compact"/>
                    <w:jc w:val="left"/>
                    <w:jc w:val="center"/>
                  </w:pPr>
                  <w:r>
                    <w:t xml:space="preserve">Other/Multiracial</w:t>
                  </w:r>
                </w:p>
              </w:tc>
              <w:tc>
                <w:tcPr/>
                <w:p>
                  <w:pPr>
                    <w:pStyle w:val="Compact"/>
                    <w:jc w:val="right"/>
                    <w:jc w:val="center"/>
                  </w:pPr>
                  <w:r>
                    <w:t xml:space="preserve">6</w:t>
                  </w:r>
                </w:p>
              </w:tc>
              <w:tc>
                <w:tcPr/>
                <w:p>
                  <w:pPr>
                    <w:pStyle w:val="Compact"/>
                    <w:jc w:val="right"/>
                    <w:jc w:val="center"/>
                  </w:pPr>
                  <w:r>
                    <w:t xml:space="preserve">4.2</w:t>
                  </w:r>
                </w:p>
              </w:tc>
              <w:tc>
                <w:tcPr/>
                <w:p>
                  <w:pPr>
                    <w:pStyle w:val="Compact"/>
                  </w:pPr>
                </w:p>
              </w:tc>
              <w:tc>
                <w:tcPr/>
                <w:p>
                  <w:pPr>
                    <w:pStyle w:val="Compact"/>
                  </w:pPr>
                </w:p>
              </w:tc>
              <w:tc>
                <w:tcPr/>
                <w:p>
                  <w:pPr>
                    <w:pStyle w:val="Compact"/>
                  </w:pPr>
                </w:p>
              </w:tc>
            </w:tr>
            <w:tr>
              <w:tc>
                <w:tcPr/>
                <w:p>
                  <w:pPr>
                    <w:pStyle w:val="Compact"/>
                    <w:jc w:val="left"/>
                    <w:jc w:val="center"/>
                  </w:pPr>
                  <w:r>
                    <w:t xml:space="preserve">Hispanic, Latino, or Spanish origin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6"/>
                </w:tcPr>
                <w:p>
                  <w:pPr>
                    <w:pStyle w:val="Compact"/>
                    <w:jc w:val="left"/>
                    <w:jc w:val="center"/>
                  </w:pPr>
                </w:p>
              </w:tc>
            </w:tr>
            <w:tr>
              <w:tc>
                <w:tcPr/>
                <w:p>
                  <w:pPr>
                    <w:pStyle w:val="Compact"/>
                    <w:jc w:val="left"/>
                    <w:jc w:val="center"/>
                  </w:pPr>
                  <w:r>
                    <w:t xml:space="preserve">Yes</w:t>
                  </w:r>
                </w:p>
              </w:tc>
              <w:tc>
                <w:tcPr/>
                <w:p>
                  <w:pPr>
                    <w:pStyle w:val="Compact"/>
                    <w:jc w:val="right"/>
                    <w:jc w:val="center"/>
                  </w:pPr>
                  <w:r>
                    <w:t xml:space="preserve">3</w:t>
                  </w:r>
                </w:p>
              </w:tc>
              <w:tc>
                <w:tcPr/>
                <w:p>
                  <w:pPr>
                    <w:pStyle w:val="Compact"/>
                    <w:jc w:val="right"/>
                    <w:jc w:val="center"/>
                  </w:pPr>
                  <w:r>
                    <w:t xml:space="preserve">2.1</w:t>
                  </w:r>
                </w:p>
              </w:tc>
              <w:tc>
                <w:tcPr/>
                <w:p>
                  <w:pPr>
                    <w:pStyle w:val="Compact"/>
                  </w:pPr>
                </w:p>
              </w:tc>
              <w:tc>
                <w:tcPr/>
                <w:p>
                  <w:pPr>
                    <w:pStyle w:val="Compact"/>
                  </w:pPr>
                </w:p>
              </w:tc>
              <w:tc>
                <w:tcPr/>
                <w:p>
                  <w:pPr>
                    <w:pStyle w:val="Compact"/>
                  </w:pPr>
                </w:p>
              </w:tc>
            </w:tr>
            <w:tr>
              <w:tc>
                <w:tcPr/>
                <w:p>
                  <w:pPr>
                    <w:pStyle w:val="Compact"/>
                    <w:jc w:val="left"/>
                    <w:jc w:val="center"/>
                  </w:pPr>
                  <w:r>
                    <w:t xml:space="preserve">No</w:t>
                  </w:r>
                </w:p>
              </w:tc>
              <w:tc>
                <w:tcPr/>
                <w:p>
                  <w:pPr>
                    <w:pStyle w:val="Compact"/>
                    <w:jc w:val="right"/>
                    <w:jc w:val="center"/>
                  </w:pPr>
                  <w:r>
                    <w:t xml:space="preserve">141</w:t>
                  </w:r>
                </w:p>
              </w:tc>
              <w:tc>
                <w:tcPr/>
                <w:p>
                  <w:pPr>
                    <w:pStyle w:val="Compact"/>
                    <w:jc w:val="right"/>
                    <w:jc w:val="center"/>
                  </w:pPr>
                  <w:r>
                    <w:t xml:space="preserve">97.9</w:t>
                  </w:r>
                </w:p>
              </w:tc>
              <w:tc>
                <w:tcPr/>
                <w:p>
                  <w:pPr>
                    <w:pStyle w:val="Compact"/>
                  </w:pPr>
                </w:p>
              </w:tc>
              <w:tc>
                <w:tcPr/>
                <w:p>
                  <w:pPr>
                    <w:pStyle w:val="Compact"/>
                  </w:pPr>
                </w:p>
              </w:tc>
              <w:tc>
                <w:tcPr/>
                <w:p>
                  <w:pPr>
                    <w:pStyle w:val="Compact"/>
                  </w:pPr>
                </w:p>
              </w:tc>
            </w:tr>
            <w:tr>
              <w:tc>
                <w:tcPr/>
                <w:p>
                  <w:pPr>
                    <w:pStyle w:val="Compact"/>
                    <w:jc w:val="left"/>
                    <w:jc w:val="center"/>
                  </w:pPr>
                  <w:r>
                    <w:t xml:space="preserve">Education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6"/>
                </w:tcPr>
                <w:p>
                  <w:pPr>
                    <w:pStyle w:val="Compact"/>
                    <w:jc w:val="left"/>
                    <w:jc w:val="center"/>
                  </w:pPr>
                </w:p>
              </w:tc>
            </w:tr>
            <w:tr>
              <w:tc>
                <w:tcPr/>
                <w:p>
                  <w:pPr>
                    <w:pStyle w:val="Compact"/>
                    <w:jc w:val="left"/>
                    <w:jc w:val="center"/>
                  </w:pPr>
                  <w:r>
                    <w:t xml:space="preserve">Less than high school or GED degree</w:t>
                  </w:r>
                </w:p>
              </w:tc>
              <w:tc>
                <w:tcPr/>
                <w:p>
                  <w:pPr>
                    <w:pStyle w:val="Compact"/>
                    <w:jc w:val="right"/>
                    <w:jc w:val="center"/>
                  </w:pPr>
                  <w:r>
                    <w:t xml:space="preserve">1</w:t>
                  </w:r>
                </w:p>
              </w:tc>
              <w:tc>
                <w:tcPr/>
                <w:p>
                  <w:pPr>
                    <w:pStyle w:val="Compact"/>
                    <w:jc w:val="right"/>
                    <w:jc w:val="center"/>
                  </w:pPr>
                  <w:r>
                    <w:t xml:space="preserve">0.7</w:t>
                  </w:r>
                </w:p>
              </w:tc>
              <w:tc>
                <w:tcPr/>
                <w:p>
                  <w:pPr>
                    <w:pStyle w:val="Compact"/>
                  </w:pPr>
                </w:p>
              </w:tc>
              <w:tc>
                <w:tcPr/>
                <w:p>
                  <w:pPr>
                    <w:pStyle w:val="Compact"/>
                  </w:pPr>
                </w:p>
              </w:tc>
              <w:tc>
                <w:tcPr/>
                <w:p>
                  <w:pPr>
                    <w:pStyle w:val="Compact"/>
                  </w:pPr>
                </w:p>
              </w:tc>
            </w:tr>
            <w:tr>
              <w:tc>
                <w:tcPr/>
                <w:p>
                  <w:pPr>
                    <w:pStyle w:val="Compact"/>
                    <w:jc w:val="left"/>
                    <w:jc w:val="center"/>
                  </w:pPr>
                  <w:r>
                    <w:t xml:space="preserve">High school or GED</w:t>
                  </w:r>
                </w:p>
              </w:tc>
              <w:tc>
                <w:tcPr/>
                <w:p>
                  <w:pPr>
                    <w:pStyle w:val="Compact"/>
                    <w:jc w:val="right"/>
                    <w:jc w:val="center"/>
                  </w:pPr>
                  <w:r>
                    <w:t xml:space="preserve">14</w:t>
                  </w:r>
                </w:p>
              </w:tc>
              <w:tc>
                <w:tcPr/>
                <w:p>
                  <w:pPr>
                    <w:pStyle w:val="Compact"/>
                    <w:jc w:val="right"/>
                    <w:jc w:val="center"/>
                  </w:pPr>
                  <w:r>
                    <w:t xml:space="preserve">9.7</w:t>
                  </w:r>
                </w:p>
              </w:tc>
              <w:tc>
                <w:tcPr/>
                <w:p>
                  <w:pPr>
                    <w:pStyle w:val="Compact"/>
                  </w:pPr>
                </w:p>
              </w:tc>
              <w:tc>
                <w:tcPr/>
                <w:p>
                  <w:pPr>
                    <w:pStyle w:val="Compact"/>
                  </w:pPr>
                </w:p>
              </w:tc>
              <w:tc>
                <w:tcPr/>
                <w:p>
                  <w:pPr>
                    <w:pStyle w:val="Compact"/>
                  </w:pPr>
                </w:p>
              </w:tc>
            </w:tr>
            <w:tr>
              <w:tc>
                <w:tcPr/>
                <w:p>
                  <w:pPr>
                    <w:pStyle w:val="Compact"/>
                    <w:jc w:val="left"/>
                    <w:jc w:val="center"/>
                  </w:pPr>
                  <w:r>
                    <w:t xml:space="preserve">Some college</w:t>
                  </w:r>
                </w:p>
              </w:tc>
              <w:tc>
                <w:tcPr/>
                <w:p>
                  <w:pPr>
                    <w:pStyle w:val="Compact"/>
                    <w:jc w:val="right"/>
                    <w:jc w:val="center"/>
                  </w:pPr>
                  <w:r>
                    <w:t xml:space="preserve">39</w:t>
                  </w:r>
                </w:p>
              </w:tc>
              <w:tc>
                <w:tcPr/>
                <w:p>
                  <w:pPr>
                    <w:pStyle w:val="Compact"/>
                    <w:jc w:val="right"/>
                    <w:jc w:val="center"/>
                  </w:pPr>
                  <w:r>
                    <w:t xml:space="preserve">27.1</w:t>
                  </w:r>
                </w:p>
              </w:tc>
              <w:tc>
                <w:tcPr/>
                <w:p>
                  <w:pPr>
                    <w:pStyle w:val="Compact"/>
                  </w:pPr>
                </w:p>
              </w:tc>
              <w:tc>
                <w:tcPr/>
                <w:p>
                  <w:pPr>
                    <w:pStyle w:val="Compact"/>
                  </w:pPr>
                </w:p>
              </w:tc>
              <w:tc>
                <w:tcPr/>
                <w:p>
                  <w:pPr>
                    <w:pStyle w:val="Compact"/>
                  </w:pPr>
                </w:p>
              </w:tc>
            </w:tr>
            <w:tr>
              <w:tc>
                <w:tcPr/>
                <w:p>
                  <w:pPr>
                    <w:pStyle w:val="Compact"/>
                    <w:jc w:val="left"/>
                    <w:jc w:val="center"/>
                  </w:pPr>
                  <w:r>
                    <w:t xml:space="preserve">2-Year degree</w:t>
                  </w:r>
                </w:p>
              </w:tc>
              <w:tc>
                <w:tcPr/>
                <w:p>
                  <w:pPr>
                    <w:pStyle w:val="Compact"/>
                    <w:jc w:val="right"/>
                    <w:jc w:val="center"/>
                  </w:pPr>
                  <w:r>
                    <w:t xml:space="preserve">13</w:t>
                  </w:r>
                </w:p>
              </w:tc>
              <w:tc>
                <w:tcPr/>
                <w:p>
                  <w:pPr>
                    <w:pStyle w:val="Compact"/>
                    <w:jc w:val="right"/>
                    <w:jc w:val="center"/>
                  </w:pPr>
                  <w:r>
                    <w:t xml:space="preserve">9.0</w:t>
                  </w:r>
                </w:p>
              </w:tc>
              <w:tc>
                <w:tcPr/>
                <w:p>
                  <w:pPr>
                    <w:pStyle w:val="Compact"/>
                  </w:pPr>
                </w:p>
              </w:tc>
              <w:tc>
                <w:tcPr/>
                <w:p>
                  <w:pPr>
                    <w:pStyle w:val="Compact"/>
                  </w:pPr>
                </w:p>
              </w:tc>
              <w:tc>
                <w:tcPr/>
                <w:p>
                  <w:pPr>
                    <w:pStyle w:val="Compact"/>
                  </w:pPr>
                </w:p>
              </w:tc>
            </w:tr>
            <w:tr>
              <w:tc>
                <w:tcPr/>
                <w:p>
                  <w:pPr>
                    <w:pStyle w:val="Compact"/>
                    <w:jc w:val="left"/>
                    <w:jc w:val="center"/>
                  </w:pPr>
                  <w:r>
                    <w:t xml:space="preserve">College degree</w:t>
                  </w:r>
                </w:p>
              </w:tc>
              <w:tc>
                <w:tcPr/>
                <w:p>
                  <w:pPr>
                    <w:pStyle w:val="Compact"/>
                    <w:jc w:val="right"/>
                    <w:jc w:val="center"/>
                  </w:pPr>
                  <w:r>
                    <w:t xml:space="preserve">55</w:t>
                  </w:r>
                </w:p>
              </w:tc>
              <w:tc>
                <w:tcPr/>
                <w:p>
                  <w:pPr>
                    <w:pStyle w:val="Compact"/>
                    <w:jc w:val="right"/>
                    <w:jc w:val="center"/>
                  </w:pPr>
                  <w:r>
                    <w:t xml:space="preserve">38.2</w:t>
                  </w:r>
                </w:p>
              </w:tc>
              <w:tc>
                <w:tcPr/>
                <w:p>
                  <w:pPr>
                    <w:pStyle w:val="Compact"/>
                  </w:pPr>
                </w:p>
              </w:tc>
              <w:tc>
                <w:tcPr/>
                <w:p>
                  <w:pPr>
                    <w:pStyle w:val="Compact"/>
                  </w:pPr>
                </w:p>
              </w:tc>
              <w:tc>
                <w:tcPr/>
                <w:p>
                  <w:pPr>
                    <w:pStyle w:val="Compact"/>
                  </w:pPr>
                </w:p>
              </w:tc>
            </w:tr>
            <w:tr>
              <w:tc>
                <w:tcPr/>
                <w:p>
                  <w:pPr>
                    <w:pStyle w:val="Compact"/>
                    <w:jc w:val="left"/>
                    <w:jc w:val="center"/>
                  </w:pPr>
                  <w:r>
                    <w:t xml:space="preserve">Advanced degree</w:t>
                  </w:r>
                </w:p>
              </w:tc>
              <w:tc>
                <w:tcPr/>
                <w:p>
                  <w:pPr>
                    <w:pStyle w:val="Compact"/>
                    <w:jc w:val="right"/>
                    <w:jc w:val="center"/>
                  </w:pPr>
                  <w:r>
                    <w:t xml:space="preserve">22</w:t>
                  </w:r>
                </w:p>
              </w:tc>
              <w:tc>
                <w:tcPr/>
                <w:p>
                  <w:pPr>
                    <w:pStyle w:val="Compact"/>
                    <w:jc w:val="right"/>
                    <w:jc w:val="center"/>
                  </w:pPr>
                  <w:r>
                    <w:t xml:space="preserve">15.3</w:t>
                  </w:r>
                </w:p>
              </w:tc>
              <w:tc>
                <w:tcPr/>
                <w:p>
                  <w:pPr>
                    <w:pStyle w:val="Compact"/>
                  </w:pPr>
                </w:p>
              </w:tc>
              <w:tc>
                <w:tcPr/>
                <w:p>
                  <w:pPr>
                    <w:pStyle w:val="Compact"/>
                  </w:pPr>
                </w:p>
              </w:tc>
              <w:tc>
                <w:tcPr/>
                <w:p>
                  <w:pPr>
                    <w:pStyle w:val="Compact"/>
                  </w:pPr>
                </w:p>
              </w:tc>
            </w:tr>
            <w:tr>
              <w:tc>
                <w:tcPr/>
                <w:p>
                  <w:pPr>
                    <w:pStyle w:val="Compact"/>
                    <w:jc w:val="left"/>
                    <w:jc w:val="center"/>
                  </w:pPr>
                  <w:r>
                    <w:t xml:space="preserve">Employment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6"/>
                </w:tcPr>
                <w:p>
                  <w:pPr>
                    <w:pStyle w:val="Compact"/>
                    <w:jc w:val="left"/>
                    <w:jc w:val="center"/>
                  </w:pPr>
                </w:p>
              </w:tc>
            </w:tr>
            <w:tr>
              <w:tc>
                <w:tcPr/>
                <w:p>
                  <w:pPr>
                    <w:pStyle w:val="Compact"/>
                    <w:jc w:val="left"/>
                    <w:jc w:val="center"/>
                  </w:pPr>
                  <w:r>
                    <w:t xml:space="preserve">Employed full-time</w:t>
                  </w:r>
                </w:p>
              </w:tc>
              <w:tc>
                <w:tcPr/>
                <w:p>
                  <w:pPr>
                    <w:pStyle w:val="Compact"/>
                    <w:jc w:val="right"/>
                    <w:jc w:val="center"/>
                  </w:pPr>
                  <w:r>
                    <w:t xml:space="preserve">70</w:t>
                  </w:r>
                </w:p>
              </w:tc>
              <w:tc>
                <w:tcPr/>
                <w:p>
                  <w:pPr>
                    <w:pStyle w:val="Compact"/>
                    <w:jc w:val="right"/>
                    <w:jc w:val="center"/>
                  </w:pPr>
                  <w:r>
                    <w:t xml:space="preserve">48.6</w:t>
                  </w:r>
                </w:p>
              </w:tc>
              <w:tc>
                <w:tcPr/>
                <w:p>
                  <w:pPr>
                    <w:pStyle w:val="Compact"/>
                  </w:pPr>
                </w:p>
              </w:tc>
              <w:tc>
                <w:tcPr/>
                <w:p>
                  <w:pPr>
                    <w:pStyle w:val="Compact"/>
                  </w:pPr>
                </w:p>
              </w:tc>
              <w:tc>
                <w:tcPr/>
                <w:p>
                  <w:pPr>
                    <w:pStyle w:val="Compact"/>
                  </w:pPr>
                </w:p>
              </w:tc>
            </w:tr>
            <w:tr>
              <w:tc>
                <w:tcPr/>
                <w:p>
                  <w:pPr>
                    <w:pStyle w:val="Compact"/>
                    <w:jc w:val="left"/>
                    <w:jc w:val="center"/>
                  </w:pPr>
                  <w:r>
                    <w:t xml:space="preserve">Employed part-time</w:t>
                  </w:r>
                </w:p>
              </w:tc>
              <w:tc>
                <w:tcPr/>
                <w:p>
                  <w:pPr>
                    <w:pStyle w:val="Compact"/>
                    <w:jc w:val="right"/>
                    <w:jc w:val="center"/>
                  </w:pPr>
                  <w:r>
                    <w:t xml:space="preserve">25</w:t>
                  </w:r>
                </w:p>
              </w:tc>
              <w:tc>
                <w:tcPr/>
                <w:p>
                  <w:pPr>
                    <w:pStyle w:val="Compact"/>
                    <w:jc w:val="right"/>
                    <w:jc w:val="center"/>
                  </w:pPr>
                  <w:r>
                    <w:t xml:space="preserve">17.4</w:t>
                  </w:r>
                </w:p>
              </w:tc>
              <w:tc>
                <w:tcPr/>
                <w:p>
                  <w:pPr>
                    <w:pStyle w:val="Compact"/>
                  </w:pPr>
                </w:p>
              </w:tc>
              <w:tc>
                <w:tcPr/>
                <w:p>
                  <w:pPr>
                    <w:pStyle w:val="Compact"/>
                  </w:pPr>
                </w:p>
              </w:tc>
              <w:tc>
                <w:tcPr/>
                <w:p>
                  <w:pPr>
                    <w:pStyle w:val="Compact"/>
                  </w:pPr>
                </w:p>
              </w:tc>
            </w:tr>
            <w:tr>
              <w:tc>
                <w:tcPr/>
                <w:p>
                  <w:pPr>
                    <w:pStyle w:val="Compact"/>
                    <w:jc w:val="left"/>
                    <w:jc w:val="center"/>
                  </w:pPr>
                  <w:r>
                    <w:t xml:space="preserve">Full-time student</w:t>
                  </w:r>
                </w:p>
              </w:tc>
              <w:tc>
                <w:tcPr/>
                <w:p>
                  <w:pPr>
                    <w:pStyle w:val="Compact"/>
                    <w:jc w:val="right"/>
                    <w:jc w:val="center"/>
                  </w:pPr>
                  <w:r>
                    <w:t xml:space="preserve">7</w:t>
                  </w:r>
                </w:p>
              </w:tc>
              <w:tc>
                <w:tcPr/>
                <w:p>
                  <w:pPr>
                    <w:pStyle w:val="Compact"/>
                    <w:jc w:val="right"/>
                    <w:jc w:val="center"/>
                  </w:pPr>
                  <w:r>
                    <w:t xml:space="preserve">4.9</w:t>
                  </w:r>
                </w:p>
              </w:tc>
              <w:tc>
                <w:tcPr/>
                <w:p>
                  <w:pPr>
                    <w:pStyle w:val="Compact"/>
                  </w:pPr>
                </w:p>
              </w:tc>
              <w:tc>
                <w:tcPr/>
                <w:p>
                  <w:pPr>
                    <w:pStyle w:val="Compact"/>
                  </w:pPr>
                </w:p>
              </w:tc>
              <w:tc>
                <w:tcPr/>
                <w:p>
                  <w:pPr>
                    <w:pStyle w:val="Compact"/>
                  </w:pPr>
                </w:p>
              </w:tc>
            </w:tr>
            <w:tr>
              <w:tc>
                <w:tcPr/>
                <w:p>
                  <w:pPr>
                    <w:pStyle w:val="Compact"/>
                    <w:jc w:val="left"/>
                    <w:jc w:val="center"/>
                  </w:pPr>
                  <w:r>
                    <w:t xml:space="preserve">Homemaker</w:t>
                  </w:r>
                </w:p>
              </w:tc>
              <w:tc>
                <w:tcPr/>
                <w:p>
                  <w:pPr>
                    <w:pStyle w:val="Compact"/>
                    <w:jc w:val="right"/>
                    <w:jc w:val="center"/>
                  </w:pPr>
                  <w:r>
                    <w:t xml:space="preserve">1</w:t>
                  </w:r>
                </w:p>
              </w:tc>
              <w:tc>
                <w:tcPr/>
                <w:p>
                  <w:pPr>
                    <w:pStyle w:val="Compact"/>
                    <w:jc w:val="right"/>
                    <w:jc w:val="center"/>
                  </w:pPr>
                  <w:r>
                    <w:t xml:space="preserve">0.7</w:t>
                  </w:r>
                </w:p>
              </w:tc>
              <w:tc>
                <w:tcPr/>
                <w:p>
                  <w:pPr>
                    <w:pStyle w:val="Compact"/>
                  </w:pPr>
                </w:p>
              </w:tc>
              <w:tc>
                <w:tcPr/>
                <w:p>
                  <w:pPr>
                    <w:pStyle w:val="Compact"/>
                  </w:pPr>
                </w:p>
              </w:tc>
              <w:tc>
                <w:tcPr/>
                <w:p>
                  <w:pPr>
                    <w:pStyle w:val="Compact"/>
                  </w:pPr>
                </w:p>
              </w:tc>
            </w:tr>
            <w:tr>
              <w:tc>
                <w:tcPr/>
                <w:p>
                  <w:pPr>
                    <w:pStyle w:val="Compact"/>
                    <w:jc w:val="left"/>
                    <w:jc w:val="center"/>
                  </w:pPr>
                  <w:r>
                    <w:t xml:space="preserve">Disabled</w:t>
                  </w:r>
                </w:p>
              </w:tc>
              <w:tc>
                <w:tcPr/>
                <w:p>
                  <w:pPr>
                    <w:pStyle w:val="Compact"/>
                    <w:jc w:val="right"/>
                    <w:jc w:val="center"/>
                  </w:pPr>
                  <w:r>
                    <w:t xml:space="preserve">7</w:t>
                  </w:r>
                </w:p>
              </w:tc>
              <w:tc>
                <w:tcPr/>
                <w:p>
                  <w:pPr>
                    <w:pStyle w:val="Compact"/>
                    <w:jc w:val="right"/>
                    <w:jc w:val="center"/>
                  </w:pPr>
                  <w:r>
                    <w:t xml:space="preserve">4.9</w:t>
                  </w:r>
                </w:p>
              </w:tc>
              <w:tc>
                <w:tcPr/>
                <w:p>
                  <w:pPr>
                    <w:pStyle w:val="Compact"/>
                  </w:pPr>
                </w:p>
              </w:tc>
              <w:tc>
                <w:tcPr/>
                <w:p>
                  <w:pPr>
                    <w:pStyle w:val="Compact"/>
                  </w:pPr>
                </w:p>
              </w:tc>
              <w:tc>
                <w:tcPr/>
                <w:p>
                  <w:pPr>
                    <w:pStyle w:val="Compact"/>
                  </w:pPr>
                </w:p>
              </w:tc>
            </w:tr>
            <w:tr>
              <w:tc>
                <w:tcPr/>
                <w:p>
                  <w:pPr>
                    <w:pStyle w:val="Compact"/>
                    <w:jc w:val="left"/>
                    <w:jc w:val="center"/>
                  </w:pPr>
                  <w:r>
                    <w:t xml:space="preserve">Retired</w:t>
                  </w:r>
                </w:p>
              </w:tc>
              <w:tc>
                <w:tcPr/>
                <w:p>
                  <w:pPr>
                    <w:pStyle w:val="Compact"/>
                    <w:jc w:val="right"/>
                    <w:jc w:val="center"/>
                  </w:pPr>
                  <w:r>
                    <w:t xml:space="preserve">8</w:t>
                  </w:r>
                </w:p>
              </w:tc>
              <w:tc>
                <w:tcPr/>
                <w:p>
                  <w:pPr>
                    <w:pStyle w:val="Compact"/>
                    <w:jc w:val="right"/>
                    <w:jc w:val="center"/>
                  </w:pPr>
                  <w:r>
                    <w:t xml:space="preserve">5.6</w:t>
                  </w:r>
                </w:p>
              </w:tc>
              <w:tc>
                <w:tcPr/>
                <w:p>
                  <w:pPr>
                    <w:pStyle w:val="Compact"/>
                  </w:pPr>
                </w:p>
              </w:tc>
              <w:tc>
                <w:tcPr/>
                <w:p>
                  <w:pPr>
                    <w:pStyle w:val="Compact"/>
                  </w:pPr>
                </w:p>
              </w:tc>
              <w:tc>
                <w:tcPr/>
                <w:p>
                  <w:pPr>
                    <w:pStyle w:val="Compact"/>
                  </w:pPr>
                </w:p>
              </w:tc>
            </w:tr>
            <w:tr>
              <w:tc>
                <w:tcPr/>
                <w:p>
                  <w:pPr>
                    <w:pStyle w:val="Compact"/>
                    <w:jc w:val="left"/>
                    <w:jc w:val="center"/>
                  </w:pPr>
                  <w:r>
                    <w:t xml:space="preserve">Unemployed</w:t>
                  </w:r>
                </w:p>
              </w:tc>
              <w:tc>
                <w:tcPr/>
                <w:p>
                  <w:pPr>
                    <w:pStyle w:val="Compact"/>
                    <w:jc w:val="right"/>
                    <w:jc w:val="center"/>
                  </w:pPr>
                  <w:r>
                    <w:t xml:space="preserve">15</w:t>
                  </w:r>
                </w:p>
              </w:tc>
              <w:tc>
                <w:tcPr/>
                <w:p>
                  <w:pPr>
                    <w:pStyle w:val="Compact"/>
                    <w:jc w:val="right"/>
                    <w:jc w:val="center"/>
                  </w:pPr>
                  <w:r>
                    <w:t xml:space="preserve">10.4</w:t>
                  </w:r>
                </w:p>
              </w:tc>
              <w:tc>
                <w:tcPr/>
                <w:p>
                  <w:pPr>
                    <w:pStyle w:val="Compact"/>
                  </w:pPr>
                </w:p>
              </w:tc>
              <w:tc>
                <w:tcPr/>
                <w:p>
                  <w:pPr>
                    <w:pStyle w:val="Compact"/>
                  </w:pPr>
                </w:p>
              </w:tc>
              <w:tc>
                <w:tcPr/>
                <w:p>
                  <w:pPr>
                    <w:pStyle w:val="Compact"/>
                  </w:pPr>
                </w:p>
              </w:tc>
            </w:tr>
            <w:tr>
              <w:tc>
                <w:tcPr/>
                <w:p>
                  <w:pPr>
                    <w:pStyle w:val="Compact"/>
                    <w:jc w:val="left"/>
                    <w:jc w:val="center"/>
                  </w:pPr>
                  <w:r>
                    <w:t xml:space="preserve">Temporarily laid off, sick leave, or maternity leave</w:t>
                  </w:r>
                </w:p>
              </w:tc>
              <w:tc>
                <w:tcPr/>
                <w:p>
                  <w:pPr>
                    <w:pStyle w:val="Compact"/>
                    <w:jc w:val="right"/>
                    <w:jc w:val="center"/>
                  </w:pPr>
                  <w:r>
                    <w:t xml:space="preserve">3</w:t>
                  </w:r>
                </w:p>
              </w:tc>
              <w:tc>
                <w:tcPr/>
                <w:p>
                  <w:pPr>
                    <w:pStyle w:val="Compact"/>
                    <w:jc w:val="right"/>
                    <w:jc w:val="center"/>
                  </w:pPr>
                  <w:r>
                    <w:t xml:space="preserve">2.1</w:t>
                  </w:r>
                </w:p>
              </w:tc>
              <w:tc>
                <w:tcPr/>
                <w:p>
                  <w:pPr>
                    <w:pStyle w:val="Compact"/>
                  </w:pPr>
                </w:p>
              </w:tc>
              <w:tc>
                <w:tcPr/>
                <w:p>
                  <w:pPr>
                    <w:pStyle w:val="Compact"/>
                  </w:pPr>
                </w:p>
              </w:tc>
              <w:tc>
                <w:tcPr/>
                <w:p>
                  <w:pPr>
                    <w:pStyle w:val="Compact"/>
                  </w:pPr>
                </w:p>
              </w:tc>
            </w:tr>
            <w:tr>
              <w:tc>
                <w:tcPr/>
                <w:p>
                  <w:pPr>
                    <w:pStyle w:val="Compact"/>
                    <w:jc w:val="left"/>
                    <w:jc w:val="center"/>
                  </w:pPr>
                  <w:r>
                    <w:t xml:space="preserve">Other, not otherwise specified</w:t>
                  </w:r>
                </w:p>
              </w:tc>
              <w:tc>
                <w:tcPr/>
                <w:p>
                  <w:pPr>
                    <w:pStyle w:val="Compact"/>
                    <w:jc w:val="right"/>
                    <w:jc w:val="center"/>
                  </w:pPr>
                  <w:r>
                    <w:t xml:space="preserve">8</w:t>
                  </w:r>
                </w:p>
              </w:tc>
              <w:tc>
                <w:tcPr/>
                <w:p>
                  <w:pPr>
                    <w:pStyle w:val="Compact"/>
                    <w:jc w:val="right"/>
                    <w:jc w:val="center"/>
                  </w:pPr>
                  <w:r>
                    <w:t xml:space="preserve">5.6</w:t>
                  </w:r>
                </w:p>
              </w:tc>
              <w:tc>
                <w:tcPr/>
                <w:p>
                  <w:pPr>
                    <w:pStyle w:val="Compact"/>
                  </w:pPr>
                </w:p>
              </w:tc>
              <w:tc>
                <w:tcPr/>
                <w:p>
                  <w:pPr>
                    <w:pStyle w:val="Compact"/>
                  </w:pPr>
                </w:p>
              </w:tc>
              <w:tc>
                <w:tcPr/>
                <w:p>
                  <w:pPr>
                    <w:pStyle w:val="Compact"/>
                  </w:pPr>
                </w:p>
              </w:tc>
            </w:tr>
            <w:tr>
              <w:tc>
                <w:tcPr/>
                <w:p>
                  <w:pPr>
                    <w:pStyle w:val="Compact"/>
                    <w:jc w:val="left"/>
                    <w:jc w:val="center"/>
                  </w:pPr>
                  <w:r>
                    <w:t xml:space="preserve">Personal Income</w:t>
                  </w:r>
                </w:p>
              </w:tc>
              <w:tc>
                <w:tcPr/>
                <w:p>
                  <w:pPr>
                    <w:pStyle w:val="Compact"/>
                  </w:pPr>
                </w:p>
              </w:tc>
              <w:tc>
                <w:tcPr/>
                <w:p>
                  <w:pPr>
                    <w:pStyle w:val="Compact"/>
                  </w:pPr>
                </w:p>
              </w:tc>
              <w:tc>
                <w:tcPr/>
                <w:p>
                  <w:pPr>
                    <w:pStyle w:val="Compact"/>
                    <w:jc w:val="left"/>
                    <w:jc w:val="center"/>
                  </w:pPr>
                  <w:r>
                    <w:t xml:space="preserve">$35,050</w:t>
                  </w:r>
                </w:p>
              </w:tc>
              <w:tc>
                <w:tcPr/>
                <w:p>
                  <w:pPr>
                    <w:pStyle w:val="Compact"/>
                    <w:jc w:val="left"/>
                    <w:jc w:val="center"/>
                  </w:pPr>
                  <w:r>
                    <w:t xml:space="preserve">$32,069</w:t>
                  </w:r>
                </w:p>
              </w:tc>
              <w:tc>
                <w:tcPr/>
                <w:p>
                  <w:pPr>
                    <w:pStyle w:val="Compact"/>
                    <w:jc w:val="left"/>
                    <w:jc w:val="center"/>
                  </w:pPr>
                  <w:r>
                    <w:t xml:space="preserve">$0-200,000</w:t>
                  </w:r>
                </w:p>
              </w:tc>
            </w:tr>
            <w:tr>
              <w:tc>
                <w:tcPr/>
                <w:p>
                  <w:pPr>
                    <w:pStyle w:val="Compact"/>
                    <w:jc w:val="left"/>
                    <w:jc w:val="center"/>
                  </w:pPr>
                  <w:r>
                    <w:t xml:space="preserve">Marital Status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gridSpan w:val="6"/>
                </w:tcPr>
                <w:p>
                  <w:pPr>
                    <w:pStyle w:val="Compact"/>
                    <w:jc w:val="left"/>
                    <w:jc w:val="center"/>
                  </w:pPr>
                </w:p>
              </w:tc>
            </w:tr>
            <w:tr>
              <w:tc>
                <w:tcPr/>
                <w:p>
                  <w:pPr>
                    <w:pStyle w:val="Compact"/>
                    <w:jc w:val="left"/>
                    <w:jc w:val="center"/>
                  </w:pPr>
                  <w:r>
                    <w:t xml:space="preserve">Never married</w:t>
                  </w:r>
                </w:p>
              </w:tc>
              <w:tc>
                <w:tcPr/>
                <w:p>
                  <w:pPr>
                    <w:pStyle w:val="Compact"/>
                    <w:jc w:val="right"/>
                    <w:jc w:val="center"/>
                  </w:pPr>
                  <w:r>
                    <w:t xml:space="preserve">63</w:t>
                  </w:r>
                </w:p>
              </w:tc>
              <w:tc>
                <w:tcPr/>
                <w:p>
                  <w:pPr>
                    <w:pStyle w:val="Compact"/>
                    <w:jc w:val="right"/>
                    <w:jc w:val="center"/>
                  </w:pPr>
                  <w:r>
                    <w:t xml:space="preserve">43.8</w:t>
                  </w:r>
                </w:p>
              </w:tc>
              <w:tc>
                <w:tcPr/>
                <w:p>
                  <w:pPr>
                    <w:pStyle w:val="Compact"/>
                  </w:pPr>
                </w:p>
              </w:tc>
              <w:tc>
                <w:tcPr/>
                <w:p>
                  <w:pPr>
                    <w:pStyle w:val="Compact"/>
                  </w:pPr>
                </w:p>
              </w:tc>
              <w:tc>
                <w:tcPr/>
                <w:p>
                  <w:pPr>
                    <w:pStyle w:val="Compact"/>
                  </w:pPr>
                </w:p>
              </w:tc>
            </w:tr>
            <w:tr>
              <w:tc>
                <w:tcPr/>
                <w:p>
                  <w:pPr>
                    <w:pStyle w:val="Compact"/>
                    <w:jc w:val="left"/>
                    <w:jc w:val="center"/>
                  </w:pPr>
                  <w:r>
                    <w:t xml:space="preserve">Married</w:t>
                  </w:r>
                </w:p>
              </w:tc>
              <w:tc>
                <w:tcPr/>
                <w:p>
                  <w:pPr>
                    <w:pStyle w:val="Compact"/>
                    <w:jc w:val="right"/>
                    <w:jc w:val="center"/>
                  </w:pPr>
                  <w:r>
                    <w:t xml:space="preserve">32</w:t>
                  </w:r>
                </w:p>
              </w:tc>
              <w:tc>
                <w:tcPr/>
                <w:p>
                  <w:pPr>
                    <w:pStyle w:val="Compact"/>
                    <w:jc w:val="right"/>
                    <w:jc w:val="center"/>
                  </w:pPr>
                  <w:r>
                    <w:t xml:space="preserve">22.2</w:t>
                  </w:r>
                </w:p>
              </w:tc>
              <w:tc>
                <w:tcPr/>
                <w:p>
                  <w:pPr>
                    <w:pStyle w:val="Compact"/>
                  </w:pPr>
                </w:p>
              </w:tc>
              <w:tc>
                <w:tcPr/>
                <w:p>
                  <w:pPr>
                    <w:pStyle w:val="Compact"/>
                  </w:pPr>
                </w:p>
              </w:tc>
              <w:tc>
                <w:tcPr/>
                <w:p>
                  <w:pPr>
                    <w:pStyle w:val="Compact"/>
                  </w:pPr>
                </w:p>
              </w:tc>
            </w:tr>
            <w:tr>
              <w:tc>
                <w:tcPr/>
                <w:p>
                  <w:pPr>
                    <w:pStyle w:val="Compact"/>
                    <w:jc w:val="left"/>
                    <w:jc w:val="center"/>
                  </w:pPr>
                  <w:r>
                    <w:t xml:space="preserve">Divorced</w:t>
                  </w:r>
                </w:p>
              </w:tc>
              <w:tc>
                <w:tcPr/>
                <w:p>
                  <w:pPr>
                    <w:pStyle w:val="Compact"/>
                    <w:jc w:val="right"/>
                    <w:jc w:val="center"/>
                  </w:pPr>
                  <w:r>
                    <w:t xml:space="preserve">42</w:t>
                  </w:r>
                </w:p>
              </w:tc>
              <w:tc>
                <w:tcPr/>
                <w:p>
                  <w:pPr>
                    <w:pStyle w:val="Compact"/>
                    <w:jc w:val="right"/>
                    <w:jc w:val="center"/>
                  </w:pPr>
                  <w:r>
                    <w:t xml:space="preserve">29.2</w:t>
                  </w:r>
                </w:p>
              </w:tc>
              <w:tc>
                <w:tcPr/>
                <w:p>
                  <w:pPr>
                    <w:pStyle w:val="Compact"/>
                  </w:pPr>
                </w:p>
              </w:tc>
              <w:tc>
                <w:tcPr/>
                <w:p>
                  <w:pPr>
                    <w:pStyle w:val="Compact"/>
                  </w:pPr>
                </w:p>
              </w:tc>
              <w:tc>
                <w:tcPr/>
                <w:p>
                  <w:pPr>
                    <w:pStyle w:val="Compact"/>
                  </w:pPr>
                </w:p>
              </w:tc>
            </w:tr>
            <w:tr>
              <w:tc>
                <w:tcPr/>
                <w:p>
                  <w:pPr>
                    <w:pStyle w:val="Compact"/>
                    <w:jc w:val="left"/>
                    <w:jc w:val="center"/>
                  </w:pPr>
                  <w:r>
                    <w:t xml:space="preserve">Separated</w:t>
                  </w:r>
                </w:p>
              </w:tc>
              <w:tc>
                <w:tcPr/>
                <w:p>
                  <w:pPr>
                    <w:pStyle w:val="Compact"/>
                    <w:jc w:val="right"/>
                    <w:jc w:val="center"/>
                  </w:pPr>
                  <w:r>
                    <w:t xml:space="preserve">5</w:t>
                  </w:r>
                </w:p>
              </w:tc>
              <w:tc>
                <w:tcPr/>
                <w:p>
                  <w:pPr>
                    <w:pStyle w:val="Compact"/>
                    <w:jc w:val="right"/>
                    <w:jc w:val="center"/>
                  </w:pPr>
                  <w:r>
                    <w:t xml:space="preserve">3.5</w:t>
                  </w:r>
                </w:p>
              </w:tc>
              <w:tc>
                <w:tcPr/>
                <w:p>
                  <w:pPr>
                    <w:pStyle w:val="Compact"/>
                  </w:pPr>
                </w:p>
              </w:tc>
              <w:tc>
                <w:tcPr/>
                <w:p>
                  <w:pPr>
                    <w:pStyle w:val="Compact"/>
                  </w:pPr>
                </w:p>
              </w:tc>
              <w:tc>
                <w:tcPr/>
                <w:p>
                  <w:pPr>
                    <w:pStyle w:val="Compact"/>
                  </w:pPr>
                </w:p>
              </w:tc>
            </w:tr>
            <w:tr>
              <w:tc>
                <w:tcPr/>
                <w:p>
                  <w:pPr>
                    <w:pStyle w:val="Compact"/>
                    <w:jc w:val="left"/>
                    <w:jc w:val="center"/>
                  </w:pPr>
                  <w:r>
                    <w:t xml:space="preserve">Widowed</w:t>
                  </w:r>
                </w:p>
              </w:tc>
              <w:tc>
                <w:tcPr/>
                <w:p>
                  <w:pPr>
                    <w:pStyle w:val="Compact"/>
                    <w:jc w:val="right"/>
                    <w:jc w:val="center"/>
                  </w:pPr>
                  <w:r>
                    <w:t xml:space="preserve">2</w:t>
                  </w:r>
                </w:p>
              </w:tc>
              <w:tc>
                <w:tcPr/>
                <w:p>
                  <w:pPr>
                    <w:pStyle w:val="Compact"/>
                    <w:jc w:val="right"/>
                    <w:jc w:val="center"/>
                  </w:pPr>
                  <w:r>
                    <w:t xml:space="preserve">1.4</w:t>
                  </w:r>
                </w:p>
              </w:tc>
              <w:tc>
                <w:tcPr/>
                <w:p>
                  <w:pPr>
                    <w:pStyle w:val="Compact"/>
                  </w:pPr>
                </w:p>
              </w:tc>
              <w:tc>
                <w:tcPr/>
                <w:p>
                  <w:pPr>
                    <w:pStyle w:val="Compact"/>
                  </w:pPr>
                </w:p>
              </w:tc>
              <w:tc>
                <w:tcPr/>
                <w:p>
                  <w:pPr>
                    <w:pStyle w:val="Compact"/>
                  </w:pPr>
                </w:p>
              </w:tc>
            </w:tr>
            <w:tr>
              <w:tc>
                <w:tcPr/>
                <w:p>
                  <w:pPr>
                    <w:pStyle w:val="Compact"/>
                    <w:jc w:val="left"/>
                    <w:jc w:val="center"/>
                  </w:pPr>
                  <w:r>
                    <w:t xml:space="preserve">Note:</w:t>
                  </w:r>
                  <w:r>
                    <w:t xml:space="preserve"> </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 </w:t>
                  </w:r>
                  <w:r>
                    <w:t xml:space="preserve">N = 144</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jc w:val="center"/>
            </w:pPr>
            <w:pPr>
              <w:jc w:val="left"/>
              <w:spacing w:before="200"/>
              <w:pStyle w:val="ImageCaption"/>
            </w:pPr>
            <w:r>
              <w:t xml:space="preserve">Table 2: Demographic Characterization</w:t>
            </w:r>
          </w:p>
          <w:bookmarkEnd w:id="24"/>
        </w:tc>
      </w:tr>
    </w:tbl>
    <w:p>
      <w:pPr>
        <w:pStyle w:val="BodyText"/>
      </w:pPr>
      <w:r>
        <w:rPr>
          <w:vertAlign w:val="subscript"/>
        </w:rPr>
        <w:t xml:space="preserve">Source:</w:t>
      </w:r>
      <w:r>
        <w:rPr>
          <w:vertAlign w:val="subscript"/>
        </w:rPr>
        <w:t xml:space="preserve"> </w:t>
      </w:r>
      <w:hyperlink r:id="rId25">
        <w:r>
          <w:rPr>
            <w:rStyle w:val="Hyperlink"/>
            <w:vertAlign w:val="subscript"/>
          </w:rPr>
          <w:t xml:space="preserve">Make All Tables for Main Manuscript</w:t>
        </w:r>
      </w:hyperlink>
    </w:p>
    <w:bookmarkEnd w:id="26"/>
    <w:bookmarkStart w:id="27" w:name="communications"/>
    <w:p>
      <w:pPr>
        <w:pStyle w:val="Heading2"/>
      </w:pPr>
      <w:r>
        <w:t xml:space="preserve">Communications</w:t>
      </w:r>
    </w:p>
    <w:p>
      <w:pPr>
        <w:pStyle w:val="FirstParagraph"/>
      </w:pPr>
      <w:r>
        <w:t xml:space="preserve">Participants had an average of 26 important contacts (range 2-113) that were contextualized with self-report information. We obtained a total of 375,912 contextualized communications across participants. Participants had, on average, 2,610 contextualized communications (range = 109-14,225) averaging to about 33 communications per day (range 3-278).</w:t>
      </w:r>
    </w:p>
    <w:bookmarkEnd w:id="27"/>
    <w:bookmarkStart w:id="33" w:name="model-evaluation-1"/>
    <w:p>
      <w:pPr>
        <w:pStyle w:val="Heading2"/>
      </w:pPr>
      <w:r>
        <w:t xml:space="preserve">Model Evaluation</w:t>
      </w:r>
    </w:p>
    <w:p>
      <w:pPr>
        <w:pStyle w:val="FirstParagraph"/>
      </w:pPr>
      <w:r>
        <w:t xml:space="preserve">The median posterior auROC for the best performing full model was 0.67, 95% CI [0.64, 0.71]. The final model fit on the full data set retained 10 features (left panel of</w:t>
      </w:r>
      <w:r>
        <w:t xml:space="preserve"> </w:t>
      </w:r>
      <w:hyperlink w:anchor="fig-1">
        <w:r>
          <w:rPr>
            <w:rStyle w:val="Hyperlink"/>
          </w:rPr>
          <w:t xml:space="preserve">Figure 1</w:t>
        </w:r>
      </w:hyperlink>
      <w:r>
        <w:t xml:space="preserve">). The top four were baseline alcohol use characteristics. Two of these (abstinence confidence and having a goal of abstinence) emerged as important protective factors. Abstinence self-efficacy when experiencing negative affect and craving emerged as important risk factors. Communication features were also retained in the final model. Specifically, frequency of communications with drinkers, friends, and people unaware of the individual’s recovery goals emerged as important risk factors. Frequency of communications with non-drinkers, conversely, was an important protective factor.</w:t>
      </w:r>
    </w:p>
    <w:p>
      <w:pPr>
        <w:pStyle w:val="BodyText"/>
      </w:pPr>
      <w:r>
        <w:t xml:space="preserve">We conducted a model comparison between the full model and a model that only considered baseline measures (alcohol use characteristics, demographics, and psychiatric and personality characteristics) to assess the incremental predictive value of cellular communication features beyond these baseline measures. The baseline model achieved slightly higher performance compared to the full model (median auROC = 0.69, 95% CI [0.65, 0.72]). However, this median difference in auROC was only .01 and the bayesian model comparison showed weak evidence (73% probability) that the baseline model performed better than the full model.</w:t>
      </w:r>
    </w:p>
    <w:p>
      <w:pPr>
        <w:pStyle w:val="BodyText"/>
      </w:pPr>
      <w:r>
        <w:t xml:space="preserve">Finally, our best performing model that included only cellular communication features achieved a median auROC of 0.59. The 95% CI ([0.55, 0.62]) did not contain .5, providing evidence that the model is capturing some signal in the data.</w:t>
      </w:r>
      <w:r>
        <w:t xml:space="preserve"> </w:t>
      </w:r>
      <w:r>
        <w:t xml:space="preserve">To better understand which features are capturing this signal, we examined the retained features in the best cellular communication model fit on the full data set. This model retained four features: frequency of communications with friends, people unaware of the individual’s recovery goals, drinkers, and non-drinkers. These four features were also retained in the full model. In the right panel of</w:t>
      </w:r>
      <w:r>
        <w:t xml:space="preserve"> </w:t>
      </w:r>
      <w:hyperlink w:anchor="fig-1">
        <w:r>
          <w:rPr>
            <w:rStyle w:val="Hyperlink"/>
          </w:rPr>
          <w:t xml:space="preserve">Figure 1</w:t>
        </w:r>
      </w:hyperlink>
      <w:r>
        <w:t xml:space="preserve"> </w:t>
      </w:r>
      <w:r>
        <w:t xml:space="preserve">we display the magnitude of the coefficients for these features when the model does not control for other retained baseline measures.</w:t>
      </w:r>
    </w:p>
    <w:tbl>
      <w:tblPr>
        <w:tblStyle w:val="Table"/>
        <w:tblW w:type="pct" w:w="5000"/>
        <w:tblLayout w:type="fixed"/>
        <w:tblLook w:firstRow="0" w:lastRow="0" w:firstColumn="0" w:lastColumn="0" w:noHBand="0" w:noVBand="0" w:val="0000"/>
      </w:tblPr>
      <w:tblGrid>
        <w:gridCol w:w="7920"/>
      </w:tblGrid>
      <w:tr>
        <w:tc>
          <w:tcPr/>
          <w:bookmarkStart w:id="31" w:name="fig-1"/>
          <w:p>
            <w:pPr>
              <w:pStyle w:val="Compact"/>
              <w:jc w:val="center"/>
            </w:pPr>
            <w:r>
              <w:drawing>
                <wp:inline>
                  <wp:extent cx="5334000" cy="3333749"/>
                  <wp:effectExtent b="0" l="0" r="0" t="0"/>
                  <wp:docPr descr="" title="" id="29" name="Picture"/>
                  <a:graphic>
                    <a:graphicData uri="http://schemas.openxmlformats.org/drawingml/2006/picture">
                      <pic:pic>
                        <pic:nvPicPr>
                          <pic:cNvPr descr="index_files/figure-docx/notebooks-mak_figures-fig-1-output-1.png" id="30" name="Picture"/>
                          <pic:cNvPicPr>
                            <a:picLocks noChangeArrowheads="1" noChangeAspect="1"/>
                          </pic:cNvPicPr>
                        </pic:nvPicPr>
                        <pic:blipFill>
                          <a:blip r:embed="rId28"/>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Global feature importance (elastic net coefficient) for the full and cellular communicatioin models. Features are ordered by absolute coefficient value. Bars with positive coefficient values (in blue) represent features that, on average, lower lapse risk. Bars with negative coefficient values (in salmon) represent features that, on average, increase risk. Alcohol use features were collected via self-report measures at baseline. Communication features were engineered from the contextualized cellular communications.</w:t>
            </w:r>
          </w:p>
          <w:bookmarkEnd w:id="31"/>
        </w:tc>
      </w:tr>
    </w:tbl>
    <w:p>
      <w:pPr>
        <w:pStyle w:val="BodyText"/>
      </w:pPr>
      <w:r>
        <w:rPr>
          <w:vertAlign w:val="subscript"/>
        </w:rPr>
        <w:t xml:space="preserve">Source:</w:t>
      </w:r>
      <w:r>
        <w:rPr>
          <w:vertAlign w:val="subscript"/>
        </w:rPr>
        <w:t xml:space="preserve"> </w:t>
      </w:r>
      <w:hyperlink r:id="rId32">
        <w:r>
          <w:rPr>
            <w:rStyle w:val="Hyperlink"/>
            <w:vertAlign w:val="subscript"/>
          </w:rPr>
          <w:t xml:space="preserve">Make All Figures for Main Manuscript</w:t>
        </w:r>
      </w:hyperlink>
    </w:p>
    <w:bookmarkEnd w:id="33"/>
    <w:bookmarkEnd w:id="34"/>
    <w:bookmarkStart w:id="35" w:name="discussion"/>
    <w:p>
      <w:pPr>
        <w:pStyle w:val="Heading1"/>
      </w:pPr>
      <w:r>
        <w:t xml:space="preserve">Discussion</w:t>
      </w:r>
    </w:p>
    <w:p>
      <w:pPr>
        <w:pStyle w:val="FirstParagraph"/>
      </w:pPr>
      <w:r>
        <w:t xml:space="preserve">Our model achieved fair performance, with an auROC of 0.67, indicating that some predictive signal was present. However, it did not offer incremental value beyond a baseline model that included only baseline self-report measures. Consistent with this, the four most important predictors in our model were all self-report variables: abstinence confidence, abstinence goal, negative affect efficacy, and craving.</w:t>
      </w:r>
    </w:p>
    <w:p>
      <w:pPr>
        <w:pStyle w:val="BodyText"/>
      </w:pPr>
      <w:r>
        <w:t xml:space="preserve">Nonetheless, several communication features were retained in the final model with moderately sized coefficients. These included communications with people unaware of the participant’s recovery status, non-drinkers, friends, and individuals who were unpleasant to interact with. In contrast, raw counts of calls and text messages and call durations were not retained in the final model. This implies that the quantity of communication may be less informative than the quality and social significance. Future research may benefit from collecting richer contextual data about communication contacts to better understand the social dynamics contributing to lapse risk.</w:t>
      </w:r>
    </w:p>
    <w:p>
      <w:pPr>
        <w:pStyle w:val="BodyText"/>
      </w:pPr>
      <w:r>
        <w:t xml:space="preserve">Even with highly contextualized communication data, however, prediction may be limited by data sparsity. Many participants had few daily communications, and some had extended periods with no recorded interactions at all. Our study design may have further contributed to this limitation. We collected only phone and SMS text communications through the native smartphone app. In recent years, many individuals use private messaging apps (e.g., WhatsApp, Signal) or social media platforms (e.g., Facebook Messenger, Instagram) as their primary communication method</w:t>
      </w:r>
      <w:r>
        <w:t xml:space="preserve"> </w:t>
      </w:r>
      <w:r>
        <w:t xml:space="preserve">[21]</w:t>
      </w:r>
      <w:r>
        <w:t xml:space="preserve">. Therefore, our dataset likely missed a substantial portion of participants’ communications. Future studies could explore whether incorporating communication data from additional platforms yields stronger predictive signal. However, even with improved data collection methods, sparsity may remain a challenge, as some people may simply not communicate frequently with others and others use services (e.g., Snapchat) that automatically delete messages.</w:t>
      </w:r>
    </w:p>
    <w:p>
      <w:pPr>
        <w:pStyle w:val="BodyText"/>
      </w:pPr>
      <w:r>
        <w:t xml:space="preserve">We cannot entirely dismiss the potential value of cellular communication data for risk prediction. For example, researchers have successfully incorporated communication data into models with other sensing data (e.g., accelerometer, geolocation, and device usage) to detect current</w:t>
      </w:r>
      <w:r>
        <w:t xml:space="preserve"> </w:t>
      </w:r>
      <w:r>
        <w:t xml:space="preserve">[22]</w:t>
      </w:r>
      <w:r>
        <w:t xml:space="preserve"> </w:t>
      </w:r>
      <w:r>
        <w:t xml:space="preserve">and predict future</w:t>
      </w:r>
      <w:r>
        <w:t xml:space="preserve"> </w:t>
      </w:r>
      <w:r>
        <w:t xml:space="preserve">[23]</w:t>
      </w:r>
      <w:r>
        <w:t xml:space="preserve"> </w:t>
      </w:r>
      <w:r>
        <w:t xml:space="preserve">heavy drinking episondes in non-treatment seeking young adult populations. It is possible that in certain populations cellular communications may hold more signal. Young adults may have more frequent communication reducing sparsity concerns. Additionally, non-treatment seeking populations may be less likely to sensor their data (i.e., deleting communications) when the drinking behavior is not at odds with their goals and/or values. However, even in these instances, the unique contribution of cellular communications beyond other sensing methods is unclear. Some communication features, such as outgoing call duration and the number of outgoing calls emerged in the top 20 important features for detecting current drinking episodes. Conversely, when predicting future drinking episodes, no communication features appeared in the top 20. Other sensing methods, like geolocation and accelerometer data, appeared to be more robustly important for both detection and prediction.</w:t>
      </w:r>
    </w:p>
    <w:p>
      <w:pPr>
        <w:pStyle w:val="BodyText"/>
      </w:pPr>
      <w:r>
        <w:t xml:space="preserve">Other practical challenges in collecting call and text message data further limit the feasibility of this sensing method. For example, we obtained participants’ cellular communication data by downloading backups of their communication logs in person during their monthly follow-up visits. It is possible to collect cellular communication data in real time using apps installed on Android devices. However, Apple heavily restricts apps in its app store from accessing call and text message data, making real-time sensing of communications challenging (if not impossible) for IOS users. We conclude that other forms of social interaction characterization (e.g., engineering time spent with supportive contacts from geolocation data) are more worthwhile to pursue in future research.</w:t>
      </w:r>
    </w:p>
    <w:bookmarkEnd w:id="35"/>
    <w:bookmarkStart w:id="36" w:name="acknowledgments"/>
    <w:p>
      <w:pPr>
        <w:pStyle w:val="Heading1"/>
      </w:pPr>
      <w:r>
        <w:t xml:space="preserve">Acknowledgments</w:t>
      </w:r>
    </w:p>
    <w:p>
      <w:pPr>
        <w:pStyle w:val="FirstParagraph"/>
      </w:pPr>
      <w:r>
        <w:t xml:space="preserve">The authors wish to thank Susan E. Wanta for her role as the project administrator.</w:t>
      </w:r>
    </w:p>
    <w:bookmarkEnd w:id="36"/>
    <w:bookmarkStart w:id="37" w:name="author-contributions"/>
    <w:p>
      <w:pPr>
        <w:pStyle w:val="Heading1"/>
      </w:pPr>
      <w:r>
        <w:t xml:space="preserve">Author Contributions</w:t>
      </w:r>
    </w:p>
    <w:p>
      <w:pPr>
        <w:pStyle w:val="FirstParagraph"/>
      </w:pPr>
      <w:r>
        <w:t xml:space="preserve">KW contributed to conceptualization, data curation, formal analysis, methodology, visualization, writing – original draft, and writing - review and editing. CY contributed to conceptualization, data curation, methodology, writing - original draft. JJC contributed to conceptualization, data curation, methadology, writing – review and editing, supervision of analysis, funding acquisition.</w:t>
      </w:r>
    </w:p>
    <w:bookmarkEnd w:id="37"/>
    <w:bookmarkStart w:id="38" w:name="declaration-of-conflicting-interest"/>
    <w:p>
      <w:pPr>
        <w:pStyle w:val="Heading1"/>
      </w:pPr>
      <w:r>
        <w:t xml:space="preserve">Declaration of Conflicting Interest</w:t>
      </w:r>
    </w:p>
    <w:p>
      <w:pPr>
        <w:pStyle w:val="FirstParagraph"/>
      </w:pPr>
      <w:r>
        <w:t xml:space="preserve">The authors declared no potential conflicts of interest with respect to the research, authorship, and publication of this article.</w:t>
      </w:r>
    </w:p>
    <w:bookmarkEnd w:id="38"/>
    <w:bookmarkStart w:id="39" w:name="funding"/>
    <w:p>
      <w:pPr>
        <w:pStyle w:val="Heading1"/>
      </w:pPr>
      <w:r>
        <w:t xml:space="preserve">Funding</w:t>
      </w:r>
    </w:p>
    <w:p>
      <w:pPr>
        <w:pStyle w:val="FirstParagraph"/>
      </w:pPr>
      <w:r>
        <w:t xml:space="preserve">The authors disclosed receipt of the following financial support for the research, authorship, and publication of this article: This work was supported by the National Institute on Alcohol Abuse and Alcoholism (NIAAA; grant number R01 AA024391 to John J. Curtin) and the National Institute on Drug Abuse (NIDA; grant number R01 DA047315 to John J. Curtin).</w:t>
      </w:r>
    </w:p>
    <w:bookmarkEnd w:id="39"/>
    <w:bookmarkStart w:id="40" w:name="data-availability"/>
    <w:p>
      <w:pPr>
        <w:pStyle w:val="Heading1"/>
      </w:pPr>
      <w:r>
        <w:t xml:space="preserve">Data Availability</w:t>
      </w:r>
    </w:p>
    <w:p>
      <w:pPr>
        <w:pStyle w:val="FirstParagraph"/>
      </w:pPr>
      <w:r>
        <w:t xml:space="preserve">Our de-identified data, questionnaires, and other study materials are publicly available on our OSF page (</w:t>
      </w:r>
      <w:hyperlink r:id="rId11">
        <w:r>
          <w:rPr>
            <w:rStyle w:val="Hyperlink"/>
          </w:rPr>
          <w:t xml:space="preserve">https://osf.io/wgpz9/</w:t>
        </w:r>
      </w:hyperlink>
      <w:r>
        <w:t xml:space="preserve">).</w:t>
      </w:r>
    </w:p>
    <w:p>
      <w:r>
        <w:br w:type="page"/>
      </w:r>
    </w:p>
    <w:bookmarkEnd w:id="40"/>
    <w:bookmarkStart w:id="82" w:name="references"/>
    <w:p>
      <w:pPr>
        <w:pStyle w:val="Heading1"/>
      </w:pPr>
      <w:r>
        <w:t xml:space="preserve">References</w:t>
      </w:r>
    </w:p>
    <w:bookmarkStart w:id="81" w:name="refs"/>
    <w:bookmarkStart w:id="42" w:name="ref-mclellanDrugDependenceChronic2000"/>
    <w:p>
      <w:pPr>
        <w:pStyle w:val="Bibliography"/>
      </w:pPr>
      <w:r>
        <w:t xml:space="preserve">1.</w:t>
      </w:r>
      <w:r>
        <w:t xml:space="preserve"> </w:t>
      </w:r>
      <w:r>
        <w:t xml:space="preserve">	</w:t>
      </w:r>
      <w:r>
        <w:t xml:space="preserve">McLellan AT, Lewis DC, O’Brien CP, Kleber HD. Drug dependence, a chronic medical illness: Implications for treatment, insurance, and outcomes evaluation. JAMA. 2000;284: 1689–1695. doi:</w:t>
      </w:r>
      <w:hyperlink r:id="rId41">
        <w:r>
          <w:rPr>
            <w:rStyle w:val="Hyperlink"/>
          </w:rPr>
          <w:t xml:space="preserve">10.1001/jama.284.13.1689</w:t>
        </w:r>
      </w:hyperlink>
    </w:p>
    <w:bookmarkEnd w:id="42"/>
    <w:bookmarkStart w:id="44" w:name="ref-dennisManagingAddictionChronic2007"/>
    <w:p>
      <w:pPr>
        <w:pStyle w:val="Bibliography"/>
      </w:pPr>
      <w:r>
        <w:t xml:space="preserve">2.</w:t>
      </w:r>
      <w:r>
        <w:t xml:space="preserve"> </w:t>
      </w:r>
      <w:r>
        <w:t xml:space="preserve">	</w:t>
      </w:r>
      <w:r>
        <w:t xml:space="preserve">Dennis M, Scott CK.</w:t>
      </w:r>
      <w:r>
        <w:t xml:space="preserve"> </w:t>
      </w:r>
      <w:hyperlink r:id="rId43">
        <w:r>
          <w:rPr>
            <w:rStyle w:val="Hyperlink"/>
          </w:rPr>
          <w:t xml:space="preserve">Managing</w:t>
        </w:r>
        <w:r>
          <w:rPr>
            <w:rStyle w:val="Hyperlink"/>
          </w:rPr>
          <w:t xml:space="preserve"> </w:t>
        </w:r>
        <w:r>
          <w:rPr>
            <w:rStyle w:val="Hyperlink"/>
          </w:rPr>
          <w:t xml:space="preserve">Addiction</w:t>
        </w:r>
        <w:r>
          <w:rPr>
            <w:rStyle w:val="Hyperlink"/>
          </w:rPr>
          <w:t xml:space="preserve"> </w:t>
        </w:r>
        <w:r>
          <w:rPr>
            <w:rStyle w:val="Hyperlink"/>
          </w:rPr>
          <w:t xml:space="preserve">as a</w:t>
        </w:r>
        <w:r>
          <w:rPr>
            <w:rStyle w:val="Hyperlink"/>
          </w:rPr>
          <w:t xml:space="preserve"> </w:t>
        </w:r>
        <w:r>
          <w:rPr>
            <w:rStyle w:val="Hyperlink"/>
          </w:rPr>
          <w:t xml:space="preserve">Chronic Condition</w:t>
        </w:r>
      </w:hyperlink>
      <w:r>
        <w:t xml:space="preserve">. Addiction Science &amp; Clinical Practice. 2007;4: 45–55.</w:t>
      </w:r>
      <w:r>
        <w:t xml:space="preserve"> </w:t>
      </w:r>
    </w:p>
    <w:bookmarkEnd w:id="44"/>
    <w:bookmarkStart w:id="45" w:name="ref-rounsavilleLapseRelapseChasing2010"/>
    <w:p>
      <w:pPr>
        <w:pStyle w:val="Bibliography"/>
      </w:pPr>
      <w:r>
        <w:t xml:space="preserve">3.</w:t>
      </w:r>
      <w:r>
        <w:t xml:space="preserve"> </w:t>
      </w:r>
      <w:r>
        <w:t xml:space="preserve">	</w:t>
      </w:r>
      <w:r>
        <w:t xml:space="preserve">Rounsaville DB. Lapse,</w:t>
      </w:r>
      <w:r>
        <w:t xml:space="preserve"> </w:t>
      </w:r>
      <w:r>
        <w:t xml:space="preserve">Relapse</w:t>
      </w:r>
      <w:r>
        <w:t xml:space="preserve">, and</w:t>
      </w:r>
      <w:r>
        <w:t xml:space="preserve"> </w:t>
      </w:r>
      <w:r>
        <w:t xml:space="preserve">Chasing</w:t>
      </w:r>
      <w:r>
        <w:t xml:space="preserve"> </w:t>
      </w:r>
      <w:r>
        <w:t xml:space="preserve">the</w:t>
      </w:r>
      <w:r>
        <w:t xml:space="preserve"> </w:t>
      </w:r>
      <w:r>
        <w:t xml:space="preserve">Wagon</w:t>
      </w:r>
      <w:r>
        <w:t xml:space="preserve">:</w:t>
      </w:r>
      <w:r>
        <w:t xml:space="preserve"> </w:t>
      </w:r>
      <w:r>
        <w:t xml:space="preserve">Post-Treatment Drinking</w:t>
      </w:r>
      <w:r>
        <w:t xml:space="preserve"> </w:t>
      </w:r>
      <w:r>
        <w:t xml:space="preserve">and</w:t>
      </w:r>
      <w:r>
        <w:t xml:space="preserve"> </w:t>
      </w:r>
      <w:r>
        <w:t xml:space="preserve">Recovery</w:t>
      </w:r>
      <w:r>
        <w:t xml:space="preserve">. PhD thesis, University of Maryland, Baltimore County. 2010.</w:t>
      </w:r>
      <w:r>
        <w:t xml:space="preserve"> </w:t>
      </w:r>
    </w:p>
    <w:bookmarkEnd w:id="45"/>
    <w:bookmarkStart w:id="46" w:name="X0900e084d2d8751b94683f82b04534ea811d54e"/>
    <w:p>
      <w:pPr>
        <w:pStyle w:val="Bibliography"/>
      </w:pPr>
      <w:r>
        <w:t xml:space="preserve">4.</w:t>
      </w:r>
      <w:r>
        <w:t xml:space="preserve"> </w:t>
      </w:r>
      <w:r>
        <w:t xml:space="preserve">	</w:t>
      </w:r>
      <w:r>
        <w:t xml:space="preserve">Marlatt GA, Gordon JR, editors. Relapse</w:t>
      </w:r>
      <w:r>
        <w:t xml:space="preserve"> </w:t>
      </w:r>
      <w:r>
        <w:t xml:space="preserve">Prevention</w:t>
      </w:r>
      <w:r>
        <w:t xml:space="preserve">:</w:t>
      </w:r>
      <w:r>
        <w:t xml:space="preserve"> </w:t>
      </w:r>
      <w:r>
        <w:t xml:space="preserve">Maintenance Strategies</w:t>
      </w:r>
      <w:r>
        <w:t xml:space="preserve"> </w:t>
      </w:r>
      <w:r>
        <w:t xml:space="preserve">in the</w:t>
      </w:r>
      <w:r>
        <w:t xml:space="preserve"> </w:t>
      </w:r>
      <w:r>
        <w:t xml:space="preserve">Treatment</w:t>
      </w:r>
      <w:r>
        <w:t xml:space="preserve"> </w:t>
      </w:r>
      <w:r>
        <w:t xml:space="preserve">of</w:t>
      </w:r>
      <w:r>
        <w:t xml:space="preserve"> </w:t>
      </w:r>
      <w:r>
        <w:t xml:space="preserve">Addictive Behaviors</w:t>
      </w:r>
      <w:r>
        <w:t xml:space="preserve">. First edition. New York: The Guilford Press; 1985.</w:t>
      </w:r>
      <w:r>
        <w:t xml:space="preserve"> </w:t>
      </w:r>
    </w:p>
    <w:bookmarkEnd w:id="46"/>
    <w:bookmarkStart w:id="47" w:name="ref-marlattRelapsePreventionSecond2007"/>
    <w:p>
      <w:pPr>
        <w:pStyle w:val="Bibliography"/>
      </w:pPr>
      <w:r>
        <w:t xml:space="preserve">5.</w:t>
      </w:r>
      <w:r>
        <w:t xml:space="preserve"> </w:t>
      </w:r>
      <w:r>
        <w:t xml:space="preserve">	</w:t>
      </w:r>
      <w:r>
        <w:t xml:space="preserve">Marlatt GA, Donovan DM, editors. Relapse</w:t>
      </w:r>
      <w:r>
        <w:t xml:space="preserve"> </w:t>
      </w:r>
      <w:r>
        <w:t xml:space="preserve">Prevention</w:t>
      </w:r>
      <w:r>
        <w:t xml:space="preserve">,</w:t>
      </w:r>
      <w:r>
        <w:t xml:space="preserve"> </w:t>
      </w:r>
      <w:r>
        <w:t xml:space="preserve">Second Edition</w:t>
      </w:r>
      <w:r>
        <w:t xml:space="preserve">:</w:t>
      </w:r>
      <w:r>
        <w:t xml:space="preserve"> </w:t>
      </w:r>
      <w:r>
        <w:t xml:space="preserve">Maintenance Strategies</w:t>
      </w:r>
      <w:r>
        <w:t xml:space="preserve"> </w:t>
      </w:r>
      <w:r>
        <w:t xml:space="preserve">in the</w:t>
      </w:r>
      <w:r>
        <w:t xml:space="preserve"> </w:t>
      </w:r>
      <w:r>
        <w:t xml:space="preserve">Treatment</w:t>
      </w:r>
      <w:r>
        <w:t xml:space="preserve"> </w:t>
      </w:r>
      <w:r>
        <w:t xml:space="preserve">of</w:t>
      </w:r>
      <w:r>
        <w:t xml:space="preserve"> </w:t>
      </w:r>
      <w:r>
        <w:t xml:space="preserve">Addictive Behaviors</w:t>
      </w:r>
      <w:r>
        <w:t xml:space="preserve">. 2nd edition. New York London: The Guilford Press; 2007.</w:t>
      </w:r>
      <w:r>
        <w:t xml:space="preserve"> </w:t>
      </w:r>
    </w:p>
    <w:bookmarkEnd w:id="47"/>
    <w:bookmarkStart w:id="49" w:name="ref-daleyReducingRiskRelapse2019"/>
    <w:p>
      <w:pPr>
        <w:pStyle w:val="Bibliography"/>
      </w:pPr>
      <w:r>
        <w:t xml:space="preserve">6.</w:t>
      </w:r>
      <w:r>
        <w:t xml:space="preserve"> </w:t>
      </w:r>
      <w:r>
        <w:t xml:space="preserve">	</w:t>
      </w:r>
      <w:r>
        <w:t xml:space="preserve">Daley DC, Douaihy A. Reducing the</w:t>
      </w:r>
      <w:r>
        <w:t xml:space="preserve"> </w:t>
      </w:r>
      <w:r>
        <w:t xml:space="preserve">Risk</w:t>
      </w:r>
      <w:r>
        <w:t xml:space="preserve"> </w:t>
      </w:r>
      <w:r>
        <w:t xml:space="preserve">of</w:t>
      </w:r>
      <w:r>
        <w:t xml:space="preserve"> </w:t>
      </w:r>
      <w:r>
        <w:t xml:space="preserve">Relapse</w:t>
      </w:r>
      <w:r>
        <w:t xml:space="preserve">. In: Daley DC, Douaihy AB, Daley DC, Douaihy A, editors. Managing</w:t>
      </w:r>
      <w:r>
        <w:t xml:space="preserve"> </w:t>
      </w:r>
      <w:r>
        <w:t xml:space="preserve">Substance Use Disorder</w:t>
      </w:r>
      <w:r>
        <w:t xml:space="preserve">:</w:t>
      </w:r>
      <w:r>
        <w:t xml:space="preserve"> </w:t>
      </w:r>
      <w:r>
        <w:t xml:space="preserve">Practitioner Guide</w:t>
      </w:r>
      <w:r>
        <w:t xml:space="preserve">. Oxford University Press; 2019. p. 0. doi:</w:t>
      </w:r>
      <w:hyperlink r:id="rId48">
        <w:r>
          <w:rPr>
            <w:rStyle w:val="Hyperlink"/>
          </w:rPr>
          <w:t xml:space="preserve">10.1093/med-psych/9780190926717.003.0018</w:t>
        </w:r>
      </w:hyperlink>
    </w:p>
    <w:bookmarkEnd w:id="49"/>
    <w:bookmarkStart w:id="51" w:name="ref-clevelandRecoveryRecoveryCapital2021"/>
    <w:p>
      <w:pPr>
        <w:pStyle w:val="Bibliography"/>
      </w:pPr>
      <w:r>
        <w:t xml:space="preserve">7.</w:t>
      </w:r>
      <w:r>
        <w:t xml:space="preserve"> </w:t>
      </w:r>
      <w:r>
        <w:t xml:space="preserve">	</w:t>
      </w:r>
      <w:r>
        <w:t xml:space="preserve">Cleveland HH, Brick TR, Knapp KS, Croff JM. Recovery and</w:t>
      </w:r>
      <w:r>
        <w:t xml:space="preserve"> </w:t>
      </w:r>
      <w:r>
        <w:t xml:space="preserve">Recovery Capital</w:t>
      </w:r>
      <w:r>
        <w:t xml:space="preserve">:</w:t>
      </w:r>
      <w:r>
        <w:t xml:space="preserve"> </w:t>
      </w:r>
      <w:r>
        <w:t xml:space="preserve">Aligning Measurement</w:t>
      </w:r>
      <w:r>
        <w:t xml:space="preserve"> </w:t>
      </w:r>
      <w:r>
        <w:t xml:space="preserve">with</w:t>
      </w:r>
      <w:r>
        <w:t xml:space="preserve"> </w:t>
      </w:r>
      <w:r>
        <w:t xml:space="preserve">Theory</w:t>
      </w:r>
      <w:r>
        <w:t xml:space="preserve"> </w:t>
      </w:r>
      <w:r>
        <w:t xml:space="preserve">and</w:t>
      </w:r>
      <w:r>
        <w:t xml:space="preserve"> </w:t>
      </w:r>
      <w:r>
        <w:t xml:space="preserve">Practice</w:t>
      </w:r>
      <w:r>
        <w:t xml:space="preserve">. In: Croff JM, Beaman J, editors. Family</w:t>
      </w:r>
      <w:r>
        <w:t xml:space="preserve"> </w:t>
      </w:r>
      <w:r>
        <w:t xml:space="preserve">Resilience</w:t>
      </w:r>
      <w:r>
        <w:t xml:space="preserve"> </w:t>
      </w:r>
      <w:r>
        <w:t xml:space="preserve">and</w:t>
      </w:r>
      <w:r>
        <w:t xml:space="preserve"> </w:t>
      </w:r>
      <w:r>
        <w:t xml:space="preserve">Recovery</w:t>
      </w:r>
      <w:r>
        <w:t xml:space="preserve"> </w:t>
      </w:r>
      <w:r>
        <w:t xml:space="preserve">from</w:t>
      </w:r>
      <w:r>
        <w:t xml:space="preserve"> </w:t>
      </w:r>
      <w:r>
        <w:t xml:space="preserve">Opioids</w:t>
      </w:r>
      <w:r>
        <w:t xml:space="preserve"> </w:t>
      </w:r>
      <w:r>
        <w:t xml:space="preserve">and</w:t>
      </w:r>
      <w:r>
        <w:t xml:space="preserve"> </w:t>
      </w:r>
      <w:r>
        <w:t xml:space="preserve">Other Addictions</w:t>
      </w:r>
      <w:r>
        <w:t xml:space="preserve">. Cham: Springer International Publishing; 2021. pp. 109–128. doi:</w:t>
      </w:r>
      <w:hyperlink r:id="rId50">
        <w:r>
          <w:rPr>
            <w:rStyle w:val="Hyperlink"/>
          </w:rPr>
          <w:t xml:space="preserve">10.1007/978-3-030-56958-7_6</w:t>
        </w:r>
      </w:hyperlink>
    </w:p>
    <w:bookmarkEnd w:id="51"/>
    <w:bookmarkStart w:id="53" w:name="ref-mohrPersonalSensingUnderstanding2017"/>
    <w:p>
      <w:pPr>
        <w:pStyle w:val="Bibliography"/>
      </w:pPr>
      <w:r>
        <w:t xml:space="preserve">8.</w:t>
      </w:r>
      <w:r>
        <w:t xml:space="preserve"> </w:t>
      </w:r>
      <w:r>
        <w:t xml:space="preserve">	</w:t>
      </w:r>
      <w:r>
        <w:t xml:space="preserve">Mohr DC, Zhang M, Schueller SM. Personal</w:t>
      </w:r>
      <w:r>
        <w:t xml:space="preserve"> </w:t>
      </w:r>
      <w:r>
        <w:t xml:space="preserve">Sensing</w:t>
      </w:r>
      <w:r>
        <w:t xml:space="preserve">:</w:t>
      </w:r>
      <w:r>
        <w:t xml:space="preserve"> </w:t>
      </w:r>
      <w:r>
        <w:t xml:space="preserve">Understanding Mental Health Using Ubiquitous Sensors</w:t>
      </w:r>
      <w:r>
        <w:t xml:space="preserve"> </w:t>
      </w:r>
      <w:r>
        <w:t xml:space="preserve">and</w:t>
      </w:r>
      <w:r>
        <w:t xml:space="preserve"> </w:t>
      </w:r>
      <w:r>
        <w:t xml:space="preserve">Machine Learning</w:t>
      </w:r>
      <w:r>
        <w:t xml:space="preserve">. Annual Review of Clinical Psychology. 2017;13: 23–47. doi:</w:t>
      </w:r>
      <w:hyperlink r:id="rId52">
        <w:r>
          <w:rPr>
            <w:rStyle w:val="Hyperlink"/>
          </w:rPr>
          <w:t xml:space="preserve">10.1146/annurev-clinpsy-032816-044949</w:t>
        </w:r>
      </w:hyperlink>
    </w:p>
    <w:bookmarkEnd w:id="53"/>
    <w:bookmarkStart w:id="55" w:name="ref-chihPredictiveModelingAddiction2014"/>
    <w:p>
      <w:pPr>
        <w:pStyle w:val="Bibliography"/>
      </w:pPr>
      <w:r>
        <w:t xml:space="preserve">9.</w:t>
      </w:r>
      <w:r>
        <w:t xml:space="preserve"> </w:t>
      </w:r>
      <w:r>
        <w:t xml:space="preserve">	</w:t>
      </w:r>
      <w:r>
        <w:t xml:space="preserve">Chih M-Y, Patton T, McTavish FM, Isham AJ, Judkins-Fisher CL, Atwood AK, et al. Predictive modeling of addiction lapses in a mobile health application. Journal of Substance Abuse Treatment. 2014;46: 29–35. doi:</w:t>
      </w:r>
      <w:hyperlink r:id="rId54">
        <w:r>
          <w:rPr>
            <w:rStyle w:val="Hyperlink"/>
          </w:rPr>
          <w:t xml:space="preserve">10.1016/j.jsat.2013.08.004</w:t>
        </w:r>
      </w:hyperlink>
    </w:p>
    <w:bookmarkEnd w:id="55"/>
    <w:bookmarkStart w:id="57" w:name="ref-wyantMachineLearningModels2024"/>
    <w:p>
      <w:pPr>
        <w:pStyle w:val="Bibliography"/>
      </w:pPr>
      <w:r>
        <w:t xml:space="preserve">10.</w:t>
      </w:r>
      <w:r>
        <w:t xml:space="preserve"> </w:t>
      </w:r>
      <w:r>
        <w:t xml:space="preserve">	</w:t>
      </w:r>
      <w:r>
        <w:t xml:space="preserve">Wyant K, Sant’Ana SJ, Fronk GE, Curtin JJ. Machine learning models for temporally precise lapse prediction in alcohol use disorder. Journal of Psychopathology and Clinical Science. 2024;133: 527–540. doi:</w:t>
      </w:r>
      <w:hyperlink r:id="rId56">
        <w:r>
          <w:rPr>
            <w:rStyle w:val="Hyperlink"/>
          </w:rPr>
          <w:t xml:space="preserve">10.1037/abn0000901</w:t>
        </w:r>
      </w:hyperlink>
    </w:p>
    <w:bookmarkEnd w:id="57"/>
    <w:bookmarkStart w:id="58" w:name="Xd3cf5dced997940b3810fae8f5a19eca304449d"/>
    <w:p>
      <w:pPr>
        <w:pStyle w:val="Bibliography"/>
      </w:pPr>
      <w:r>
        <w:t xml:space="preserve">11.</w:t>
      </w:r>
      <w:r>
        <w:t xml:space="preserve"> </w:t>
      </w:r>
      <w:r>
        <w:t xml:space="preserve">	</w:t>
      </w:r>
      <w:r>
        <w:t xml:space="preserve">Wyant K, Fronk GE, Yu C, Punturieri CE, Curtin JJ. Forecasting</w:t>
      </w:r>
      <w:r>
        <w:t xml:space="preserve"> </w:t>
      </w:r>
      <w:r>
        <w:t xml:space="preserve">Risk</w:t>
      </w:r>
      <w:r>
        <w:t xml:space="preserve"> </w:t>
      </w:r>
      <w:r>
        <w:t xml:space="preserve">of</w:t>
      </w:r>
      <w:r>
        <w:t xml:space="preserve"> </w:t>
      </w:r>
      <w:r>
        <w:t xml:space="preserve">Alcohol Lapse</w:t>
      </w:r>
      <w:r>
        <w:t xml:space="preserve"> </w:t>
      </w:r>
      <w:r>
        <w:t xml:space="preserve">up to</w:t>
      </w:r>
      <w:r>
        <w:t xml:space="preserve"> </w:t>
      </w:r>
      <w:r>
        <w:t xml:space="preserve">Two Weeks</w:t>
      </w:r>
      <w:r>
        <w:t xml:space="preserve"> </w:t>
      </w:r>
      <w:r>
        <w:t xml:space="preserve">in</w:t>
      </w:r>
      <w:r>
        <w:t xml:space="preserve"> </w:t>
      </w:r>
      <w:r>
        <w:t xml:space="preserve">Advance</w:t>
      </w:r>
      <w:r>
        <w:t xml:space="preserve"> </w:t>
      </w:r>
      <w:r>
        <w:t xml:space="preserve">using</w:t>
      </w:r>
      <w:r>
        <w:t xml:space="preserve"> </w:t>
      </w:r>
      <w:r>
        <w:t xml:space="preserve">Time-lagged Machine Learning Models</w:t>
      </w:r>
      <w:r>
        <w:t xml:space="preserve">. under review.</w:t>
      </w:r>
      <w:r>
        <w:t xml:space="preserve"> </w:t>
      </w:r>
    </w:p>
    <w:bookmarkEnd w:id="58"/>
    <w:bookmarkStart w:id="60" w:name="X9dfa929848d202736296032659cec14e42606bb"/>
    <w:p>
      <w:pPr>
        <w:pStyle w:val="Bibliography"/>
      </w:pPr>
      <w:r>
        <w:t xml:space="preserve">12.</w:t>
      </w:r>
      <w:r>
        <w:t xml:space="preserve"> </w:t>
      </w:r>
      <w:r>
        <w:t xml:space="preserve">	</w:t>
      </w:r>
      <w:r>
        <w:t xml:space="preserve">Jones A, Remmerswaal D, Verveer I, Robinson E, Franken IHA, Wen CKF, et al. Compliance with ecological momentary assessment protocols in substance users: A meta-analysis. Addiction (Abingdon, England). 2019;114: 609–619. doi:</w:t>
      </w:r>
      <w:hyperlink r:id="rId59">
        <w:r>
          <w:rPr>
            <w:rStyle w:val="Hyperlink"/>
          </w:rPr>
          <w:t xml:space="preserve">10/gfsjzg</w:t>
        </w:r>
      </w:hyperlink>
    </w:p>
    <w:bookmarkEnd w:id="60"/>
    <w:bookmarkStart w:id="62" w:name="Xb35ee182d565575e339a0170868456c1684f821"/>
    <w:p>
      <w:pPr>
        <w:pStyle w:val="Bibliography"/>
      </w:pPr>
      <w:r>
        <w:t xml:space="preserve">13.</w:t>
      </w:r>
      <w:r>
        <w:t xml:space="preserve"> </w:t>
      </w:r>
      <w:r>
        <w:t xml:space="preserve">	</w:t>
      </w:r>
      <w:r>
        <w:t xml:space="preserve">Wyant K, Moshontz H, Ward SB, Fronk GE, Curtin JJ. Acceptability of</w:t>
      </w:r>
      <w:r>
        <w:t xml:space="preserve"> </w:t>
      </w:r>
      <w:r>
        <w:t xml:space="preserve">Personal Sensing Among People With Alcohol Use Disorder</w:t>
      </w:r>
      <w:r>
        <w:t xml:space="preserve">:</w:t>
      </w:r>
      <w:r>
        <w:t xml:space="preserve"> </w:t>
      </w:r>
      <w:r>
        <w:t xml:space="preserve">Observational Study</w:t>
      </w:r>
      <w:r>
        <w:t xml:space="preserve">. JMIR mHealth and uHealth. 2023;11: e41833. doi:</w:t>
      </w:r>
      <w:hyperlink r:id="rId61">
        <w:r>
          <w:rPr>
            <w:rStyle w:val="Hyperlink"/>
          </w:rPr>
          <w:t xml:space="preserve">10.2196/41833</w:t>
        </w:r>
      </w:hyperlink>
    </w:p>
    <w:bookmarkEnd w:id="62"/>
    <w:bookmarkStart w:id="64" w:name="X126aebe61d5329fdf5f31356b05d81ee3379203"/>
    <w:p>
      <w:pPr>
        <w:pStyle w:val="Bibliography"/>
      </w:pPr>
      <w:r>
        <w:t xml:space="preserve">14.</w:t>
      </w:r>
      <w:r>
        <w:t xml:space="preserve"> </w:t>
      </w:r>
      <w:r>
        <w:t xml:space="preserve">	</w:t>
      </w:r>
      <w:r>
        <w:t xml:space="preserve">Aczel B, Szaszi B, Sarafoglou A, Kekecs Z, Kucharský Š, Benjamin D, et al.</w:t>
      </w:r>
      <w:r>
        <w:t xml:space="preserve"> A consensus-based transparency checklist. Nature Human Behaviour. 2019; 1–3. doi:</w:t>
      </w:r>
      <w:hyperlink r:id="rId63">
        <w:r>
          <w:rPr>
            <w:rStyle w:val="Hyperlink"/>
          </w:rPr>
          <w:t xml:space="preserve">10.1038/s41562-019-0772-6</w:t>
        </w:r>
      </w:hyperlink>
    </w:p>
    <w:bookmarkEnd w:id="64"/>
    <w:bookmarkStart w:id="65" w:name="ref-hsiehSampleSizeTables1989"/>
    <w:p>
      <w:pPr>
        <w:pStyle w:val="Bibliography"/>
      </w:pPr>
      <w:r>
        <w:t xml:space="preserve">15.</w:t>
      </w:r>
      <w:r>
        <w:t xml:space="preserve"> </w:t>
      </w:r>
      <w:r>
        <w:t xml:space="preserve">	</w:t>
      </w:r>
      <w:r>
        <w:t xml:space="preserve">Hsieh F. Sample size tables for logistic regression. Statistics in Medicine. 1989;8: 795–802.</w:t>
      </w:r>
      <w:r>
        <w:t xml:space="preserve"> </w:t>
      </w:r>
    </w:p>
    <w:bookmarkEnd w:id="65"/>
    <w:bookmarkStart w:id="66" w:name="ref-derogatislBriefSymptomInventory"/>
    <w:p>
      <w:pPr>
        <w:pStyle w:val="Bibliography"/>
      </w:pPr>
      <w:r>
        <w:t xml:space="preserve">16.</w:t>
      </w:r>
      <w:r>
        <w:t xml:space="preserve"> </w:t>
      </w:r>
      <w:r>
        <w:t xml:space="preserve">	</w:t>
      </w:r>
      <w:r>
        <w:t xml:space="preserve">Derogatis, L.R. Brief</w:t>
      </w:r>
      <w:r>
        <w:t xml:space="preserve"> </w:t>
      </w:r>
      <w:r>
        <w:t xml:space="preserve">Symptom Inventory</w:t>
      </w:r>
      <w:r>
        <w:t xml:space="preserve"> </w:t>
      </w:r>
      <w:r>
        <w:t xml:space="preserve">18 -</w:t>
      </w:r>
      <w:r>
        <w:t xml:space="preserve"> </w:t>
      </w:r>
      <w:r>
        <w:t xml:space="preserve">Administration</w:t>
      </w:r>
      <w:r>
        <w:t xml:space="preserve">, scoring, and procedures manual. Minneapolis: NCS Pearson; 2000.</w:t>
      </w:r>
      <w:r>
        <w:t xml:space="preserve"> </w:t>
      </w:r>
    </w:p>
    <w:bookmarkEnd w:id="66"/>
    <w:bookmarkStart w:id="68" w:name="X88039606d7b5c64f85ee8ea71703c6bdc3d9351"/>
    <w:p>
      <w:pPr>
        <w:pStyle w:val="Bibliography"/>
      </w:pPr>
      <w:r>
        <w:t xml:space="preserve">17.</w:t>
      </w:r>
      <w:r>
        <w:t xml:space="preserve"> </w:t>
      </w:r>
      <w:r>
        <w:t xml:space="preserve">	</w:t>
      </w:r>
      <w:r>
        <w:t xml:space="preserve">Patrick CJ, Curtin JJ, Tellegen A.</w:t>
      </w:r>
      <w:r>
        <w:t xml:space="preserve"> </w:t>
      </w:r>
      <w:hyperlink r:id="rId67">
        <w:r>
          <w:rPr>
            <w:rStyle w:val="Hyperlink"/>
          </w:rPr>
          <w:t xml:space="preserve">Development and validation of a brief form of the</w:t>
        </w:r>
        <w:r>
          <w:rPr>
            <w:rStyle w:val="Hyperlink"/>
          </w:rPr>
          <w:t xml:space="preserve"> </w:t>
        </w:r>
        <w:r>
          <w:rPr>
            <w:rStyle w:val="Hyperlink"/>
          </w:rPr>
          <w:t xml:space="preserve">Multidimensional Personality Questionnaire</w:t>
        </w:r>
      </w:hyperlink>
      <w:r>
        <w:t xml:space="preserve">. Psychological Assessment. 2002;14: 150–163.</w:t>
      </w:r>
      <w:r>
        <w:t xml:space="preserve"> </w:t>
      </w:r>
    </w:p>
    <w:bookmarkEnd w:id="68"/>
    <w:bookmarkStart w:id="70" w:name="X7237f3e8ec0394639ac33af78d4502788e325cb"/>
    <w:p>
      <w:pPr>
        <w:pStyle w:val="Bibliography"/>
      </w:pPr>
      <w:r>
        <w:t xml:space="preserve">18.</w:t>
      </w:r>
      <w:r>
        <w:t xml:space="preserve"> </w:t>
      </w:r>
      <w:r>
        <w:t xml:space="preserve">	</w:t>
      </w:r>
      <w:r>
        <w:t xml:space="preserve">Lovibond PF, Lovibond SH.</w:t>
      </w:r>
      <w:r>
        <w:t xml:space="preserve"> </w:t>
      </w:r>
      <w:hyperlink r:id="rId69">
        <w:r>
          <w:rPr>
            <w:rStyle w:val="Hyperlink"/>
          </w:rPr>
          <w:t xml:space="preserve">The structure of negative emotional states: Comparison of the</w:t>
        </w:r>
        <w:r>
          <w:rPr>
            <w:rStyle w:val="Hyperlink"/>
          </w:rPr>
          <w:t xml:space="preserve"> </w:t>
        </w:r>
        <w:r>
          <w:rPr>
            <w:rStyle w:val="Hyperlink"/>
          </w:rPr>
          <w:t xml:space="preserve">Depression Anxiety Stress Scales</w:t>
        </w:r>
        <w:r>
          <w:rPr>
            <w:rStyle w:val="Hyperlink"/>
          </w:rPr>
          <w:t xml:space="preserve"> </w:t>
        </w:r>
        <w:r>
          <w:rPr>
            <w:rStyle w:val="Hyperlink"/>
          </w:rPr>
          <w:t xml:space="preserve">(</w:t>
        </w:r>
        <w:r>
          <w:rPr>
            <w:rStyle w:val="Hyperlink"/>
          </w:rPr>
          <w:t xml:space="preserve">DASS</w:t>
        </w:r>
        <w:r>
          <w:rPr>
            <w:rStyle w:val="Hyperlink"/>
          </w:rPr>
          <w:t xml:space="preserve">) with the</w:t>
        </w:r>
        <w:r>
          <w:rPr>
            <w:rStyle w:val="Hyperlink"/>
          </w:rPr>
          <w:t xml:space="preserve"> </w:t>
        </w:r>
        <w:r>
          <w:rPr>
            <w:rStyle w:val="Hyperlink"/>
          </w:rPr>
          <w:t xml:space="preserve">Beck Depression</w:t>
        </w:r>
        <w:r>
          <w:rPr>
            <w:rStyle w:val="Hyperlink"/>
          </w:rPr>
          <w:t xml:space="preserve"> </w:t>
        </w:r>
        <w:r>
          <w:rPr>
            <w:rStyle w:val="Hyperlink"/>
          </w:rPr>
          <w:t xml:space="preserve">and</w:t>
        </w:r>
        <w:r>
          <w:rPr>
            <w:rStyle w:val="Hyperlink"/>
          </w:rPr>
          <w:t xml:space="preserve"> </w:t>
        </w:r>
        <w:r>
          <w:rPr>
            <w:rStyle w:val="Hyperlink"/>
          </w:rPr>
          <w:t xml:space="preserve">Anxiety Inventories</w:t>
        </w:r>
      </w:hyperlink>
      <w:r>
        <w:t xml:space="preserve">. Behaviour Research and Therapy. 1995;33: 335–343.</w:t>
      </w:r>
      <w:r>
        <w:t xml:space="preserve"> </w:t>
      </w:r>
    </w:p>
    <w:bookmarkEnd w:id="70"/>
    <w:bookmarkStart w:id="72" w:name="Xcae8ce16b0973d3f8a23c89fe6ee90c012f333c"/>
    <w:p>
      <w:pPr>
        <w:pStyle w:val="Bibliography"/>
      </w:pPr>
      <w:r>
        <w:t xml:space="preserve">19.</w:t>
      </w:r>
      <w:r>
        <w:t xml:space="preserve"> </w:t>
      </w:r>
      <w:r>
        <w:t xml:space="preserve">	</w:t>
      </w:r>
      <w:r>
        <w:t xml:space="preserve">McKiernan P, Cloud R, Patterson DA, Wolf S, Golder S, Besel K. Development of a</w:t>
      </w:r>
      <w:r>
        <w:t xml:space="preserve"> </w:t>
      </w:r>
      <w:r>
        <w:t xml:space="preserve">Brief Abstinence Self-Efficacy Measure</w:t>
      </w:r>
      <w:r>
        <w:t xml:space="preserve">. Journal of social work practice in the addictions. 2011;11: 245–253. doi:</w:t>
      </w:r>
      <w:hyperlink r:id="rId71">
        <w:r>
          <w:rPr>
            <w:rStyle w:val="Hyperlink"/>
          </w:rPr>
          <w:t xml:space="preserve">10.1080/1533256X.2011.593445</w:t>
        </w:r>
      </w:hyperlink>
    </w:p>
    <w:bookmarkEnd w:id="72"/>
    <w:bookmarkStart w:id="74" w:name="X72fdb242290119aefa439c46cdcc18630f6c0fa"/>
    <w:p>
      <w:pPr>
        <w:pStyle w:val="Bibliography"/>
      </w:pPr>
      <w:r>
        <w:t xml:space="preserve">20.</w:t>
      </w:r>
      <w:r>
        <w:t xml:space="preserve"> </w:t>
      </w:r>
      <w:r>
        <w:t xml:space="preserve">	</w:t>
      </w:r>
      <w:r>
        <w:t xml:space="preserve">Flannery BA, Volpicelli JR, Pettinati HM.</w:t>
      </w:r>
      <w:r>
        <w:t xml:space="preserve"> </w:t>
      </w:r>
      <w:hyperlink r:id="rId73">
        <w:r>
          <w:rPr>
            <w:rStyle w:val="Hyperlink"/>
          </w:rPr>
          <w:t xml:space="preserve">Psychometric properties of the</w:t>
        </w:r>
        <w:r>
          <w:rPr>
            <w:rStyle w:val="Hyperlink"/>
          </w:rPr>
          <w:t xml:space="preserve"> </w:t>
        </w:r>
        <w:r>
          <w:rPr>
            <w:rStyle w:val="Hyperlink"/>
          </w:rPr>
          <w:t xml:space="preserve">Penn Alcohol Craving Scale</w:t>
        </w:r>
      </w:hyperlink>
      <w:r>
        <w:t xml:space="preserve">. Alcoholism, clinical and experimental research. 1999;23: 1289–1295.</w:t>
      </w:r>
      <w:r>
        <w:t xml:space="preserve"> </w:t>
      </w:r>
    </w:p>
    <w:bookmarkEnd w:id="74"/>
    <w:bookmarkStart w:id="76" w:name="X948b064f539498125570f43a275c11fe3804a5f"/>
    <w:p>
      <w:pPr>
        <w:pStyle w:val="Bibliography"/>
      </w:pPr>
      <w:r>
        <w:t xml:space="preserve">21.</w:t>
      </w:r>
      <w:r>
        <w:t xml:space="preserve"> </w:t>
      </w:r>
      <w:r>
        <w:t xml:space="preserve">	</w:t>
      </w:r>
      <w:r>
        <w:t xml:space="preserve">McDowell B, Dumais KM, Gary ST, de Gooijer I, Ward T</w:t>
      </w:r>
      <w:r>
        <w:t xml:space="preserve">. Preferences and</w:t>
      </w:r>
      <w:r>
        <w:t xml:space="preserve"> </w:t>
      </w:r>
      <w:r>
        <w:t xml:space="preserve">Attitudes Towards Digital Communication</w:t>
      </w:r>
      <w:r>
        <w:t xml:space="preserve"> </w:t>
      </w:r>
      <w:r>
        <w:t xml:space="preserve">and</w:t>
      </w:r>
      <w:r>
        <w:t xml:space="preserve"> </w:t>
      </w:r>
      <w:r>
        <w:t xml:space="preserve">Symptom Reporting Methods</w:t>
      </w:r>
      <w:r>
        <w:t xml:space="preserve"> </w:t>
      </w:r>
      <w:r>
        <w:t xml:space="preserve">in</w:t>
      </w:r>
      <w:r>
        <w:t xml:space="preserve"> </w:t>
      </w:r>
      <w:r>
        <w:t xml:space="preserve">Clinical Trials</w:t>
      </w:r>
      <w:r>
        <w:t xml:space="preserve">. Patient preference and adherence. 2025;19: 255–263. doi:</w:t>
      </w:r>
      <w:hyperlink r:id="rId75">
        <w:r>
          <w:rPr>
            <w:rStyle w:val="Hyperlink"/>
          </w:rPr>
          <w:t xml:space="preserve">10.2147/PPA.S474535</w:t>
        </w:r>
      </w:hyperlink>
    </w:p>
    <w:bookmarkEnd w:id="76"/>
    <w:bookmarkStart w:id="78" w:name="ref-baeDetectingDrinkingEpisodes2017"/>
    <w:p>
      <w:pPr>
        <w:pStyle w:val="Bibliography"/>
      </w:pPr>
      <w:r>
        <w:t xml:space="preserve">22.</w:t>
      </w:r>
      <w:r>
        <w:t xml:space="preserve"> </w:t>
      </w:r>
      <w:r>
        <w:t xml:space="preserve">	</w:t>
      </w:r>
      <w:r>
        <w:t xml:space="preserve">Bae S, Ferreira D, Suffoletto B, Puyana JC, Kurtz R, Chung T, et al. Detecting</w:t>
      </w:r>
      <w:r>
        <w:t xml:space="preserve"> </w:t>
      </w:r>
      <w:r>
        <w:t xml:space="preserve">Drinking Episodes</w:t>
      </w:r>
      <w:r>
        <w:t xml:space="preserve"> </w:t>
      </w:r>
      <w:r>
        <w:t xml:space="preserve">in</w:t>
      </w:r>
      <w:r>
        <w:t xml:space="preserve"> </w:t>
      </w:r>
      <w:r>
        <w:t xml:space="preserve">Young Adults Using Smartphone-based Sensors</w:t>
      </w:r>
      <w:r>
        <w:t xml:space="preserve">. Proceedings of the ACM on Interactive, Mobile, Wearable and Ubiquitous Technologies. 2017;1: 1–36. doi:</w:t>
      </w:r>
      <w:hyperlink r:id="rId77">
        <w:r>
          <w:rPr>
            <w:rStyle w:val="Hyperlink"/>
          </w:rPr>
          <w:t xml:space="preserve">10.1145/3090051</w:t>
        </w:r>
      </w:hyperlink>
    </w:p>
    <w:bookmarkEnd w:id="78"/>
    <w:bookmarkStart w:id="80" w:name="ref-baeLeveragingMobilePhone2023"/>
    <w:p>
      <w:pPr>
        <w:pStyle w:val="Bibliography"/>
      </w:pPr>
      <w:r>
        <w:t xml:space="preserve">23.</w:t>
      </w:r>
      <w:r>
        <w:t xml:space="preserve"> </w:t>
      </w:r>
      <w:r>
        <w:t xml:space="preserve">	</w:t>
      </w:r>
      <w:r>
        <w:t xml:space="preserve">Bae SW, Suffoletto B, Zhang T, Chung T, Ozolcer M, Islam MR, et al. Leveraging</w:t>
      </w:r>
      <w:r>
        <w:t xml:space="preserve"> </w:t>
      </w:r>
      <w:r>
        <w:t xml:space="preserve">Mobile Phone Sensors</w:t>
      </w:r>
      <w:r>
        <w:t xml:space="preserve">,</w:t>
      </w:r>
      <w:r>
        <w:t xml:space="preserve"> </w:t>
      </w:r>
      <w:r>
        <w:t xml:space="preserve">Machine Learning</w:t>
      </w:r>
      <w:r>
        <w:t xml:space="preserve"> </w:t>
      </w:r>
      <w:r>
        <w:t xml:space="preserve">and</w:t>
      </w:r>
      <w:r>
        <w:t xml:space="preserve"> </w:t>
      </w:r>
      <w:r>
        <w:t xml:space="preserve">Explainable Artificial Intelligence</w:t>
      </w:r>
      <w:r>
        <w:t xml:space="preserve"> </w:t>
      </w:r>
      <w:r>
        <w:t xml:space="preserve">to</w:t>
      </w:r>
      <w:r>
        <w:t xml:space="preserve"> </w:t>
      </w:r>
      <w:r>
        <w:t xml:space="preserve">Predict Imminent Same-Day Binge Drinking Events</w:t>
      </w:r>
      <w:r>
        <w:t xml:space="preserve"> </w:t>
      </w:r>
      <w:r>
        <w:t xml:space="preserve">to</w:t>
      </w:r>
      <w:r>
        <w:t xml:space="preserve"> </w:t>
      </w:r>
      <w:r>
        <w:t xml:space="preserve">Support Just-In-Time Adaptive Interventions</w:t>
      </w:r>
      <w:r>
        <w:t xml:space="preserve">:</w:t>
      </w:r>
      <w:r>
        <w:t xml:space="preserve"> </w:t>
      </w:r>
      <w:r>
        <w:t xml:space="preserve">A Feasibility Study</w:t>
      </w:r>
      <w:r>
        <w:t xml:space="preserve">. JMIR formative research. 2023. doi:</w:t>
      </w:r>
      <w:hyperlink r:id="rId79">
        <w:r>
          <w:rPr>
            <w:rStyle w:val="Hyperlink"/>
          </w:rPr>
          <w:t xml:space="preserve">10.2196/39862</w:t>
        </w:r>
      </w:hyperlink>
    </w:p>
    <w:bookmarkEnd w:id="80"/>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hyperlink" Id="rId41" Target="https://doi.org/10.1001/jama.284.13.1689" TargetMode="External" /><Relationship Type="http://schemas.openxmlformats.org/officeDocument/2006/relationships/hyperlink" Id="rId50" Target="https://doi.org/10.1007/978-3-030-56958-7_6" TargetMode="External" /><Relationship Type="http://schemas.openxmlformats.org/officeDocument/2006/relationships/hyperlink" Id="rId54" Target="https://doi.org/10.1016/j.jsat.2013.08.004" TargetMode="External" /><Relationship Type="http://schemas.openxmlformats.org/officeDocument/2006/relationships/hyperlink" Id="rId56" Target="https://doi.org/10.1037/abn0000901" TargetMode="External" /><Relationship Type="http://schemas.openxmlformats.org/officeDocument/2006/relationships/hyperlink" Id="rId63" Target="https://doi.org/10.1038/s41562-019-0772-6" TargetMode="External" /><Relationship Type="http://schemas.openxmlformats.org/officeDocument/2006/relationships/hyperlink" Id="rId71" Target="https://doi.org/10.1080/1533256X.2011.593445" TargetMode="External" /><Relationship Type="http://schemas.openxmlformats.org/officeDocument/2006/relationships/hyperlink" Id="rId48" Target="https://doi.org/10.1093/med-psych/9780190926717.003.0018" TargetMode="External" /><Relationship Type="http://schemas.openxmlformats.org/officeDocument/2006/relationships/hyperlink" Id="rId77" Target="https://doi.org/10.1145/3090051" TargetMode="External" /><Relationship Type="http://schemas.openxmlformats.org/officeDocument/2006/relationships/hyperlink" Id="rId52" Target="https://doi.org/10.1146/annurev-clinpsy-032816-044949" TargetMode="External" /><Relationship Type="http://schemas.openxmlformats.org/officeDocument/2006/relationships/hyperlink" Id="rId75" Target="https://doi.org/10.2147/PPA.S474535" TargetMode="External" /><Relationship Type="http://schemas.openxmlformats.org/officeDocument/2006/relationships/hyperlink" Id="rId79" Target="https://doi.org/10.2196/39862" TargetMode="External" /><Relationship Type="http://schemas.openxmlformats.org/officeDocument/2006/relationships/hyperlink" Id="rId61" Target="https://doi.org/10.2196/41833" TargetMode="External" /><Relationship Type="http://schemas.openxmlformats.org/officeDocument/2006/relationships/hyperlink" Id="rId59" Target="https://doi.org/10/gfsjzg" TargetMode="External" /><Relationship Type="http://schemas.openxmlformats.org/officeDocument/2006/relationships/hyperlink" Id="rId12" Target="https://jjcurtin.github.io/study_messages/" TargetMode="External" /><Relationship Type="http://schemas.openxmlformats.org/officeDocument/2006/relationships/hyperlink" Id="rId9" Target="https://jjcurtin.github.io/study_messages/index.qmd.html" TargetMode="External" /><Relationship Type="http://schemas.openxmlformats.org/officeDocument/2006/relationships/hyperlink" Id="rId32" Target="https://jjcurtin.github.io/study_messages/notebooks\mak_figures-preview.html#cell-fig-1" TargetMode="External" /><Relationship Type="http://schemas.openxmlformats.org/officeDocument/2006/relationships/hyperlink" Id="rId18" Target="https://jjcurtin.github.io/study_messages/notebooks\mak_tables-preview.html#cell-tbl-1" TargetMode="External" /><Relationship Type="http://schemas.openxmlformats.org/officeDocument/2006/relationships/hyperlink" Id="rId25" Target="https://jjcurtin.github.io/study_messages/notebooks\mak_tables-preview.html#cell-tbl-2" TargetMode="External" /><Relationship Type="http://schemas.openxmlformats.org/officeDocument/2006/relationships/hyperlink" Id="rId11" Target="https://osf.io/wgpz9/" TargetMode="External" /><Relationship Type="http://schemas.openxmlformats.org/officeDocument/2006/relationships/hyperlink" Id="rId43" Target="https://www.ncbi.nlm.nih.gov/pmc/articles/PMC2797101" TargetMode="External" /><Relationship Type="http://schemas.openxmlformats.org/officeDocument/2006/relationships/hyperlink" Id="rId73" Target="https://www.ncbi.nlm.nih.gov/pubmed/10470970" TargetMode="External" /><Relationship Type="http://schemas.openxmlformats.org/officeDocument/2006/relationships/hyperlink" Id="rId67" Target="https://www.ncbi.nlm.nih.gov/pubmed/12056077" TargetMode="External" /><Relationship Type="http://schemas.openxmlformats.org/officeDocument/2006/relationships/hyperlink" Id="rId69" Target="https://www.ncbi.nlm.nih.gov/pubmed/7726811" TargetMode="External" /></Relationships>
</file>

<file path=word/_rels/footnotes.xml.rels><?xml version="1.0" encoding="UTF-8"?><Relationships xmlns="http://schemas.openxmlformats.org/package/2006/relationships"><Relationship Type="http://schemas.openxmlformats.org/officeDocument/2006/relationships/hyperlink" Id="rId41" Target="https://doi.org/10.1001/jama.284.13.1689" TargetMode="External" /><Relationship Type="http://schemas.openxmlformats.org/officeDocument/2006/relationships/hyperlink" Id="rId50" Target="https://doi.org/10.1007/978-3-030-56958-7_6" TargetMode="External" /><Relationship Type="http://schemas.openxmlformats.org/officeDocument/2006/relationships/hyperlink" Id="rId54" Target="https://doi.org/10.1016/j.jsat.2013.08.004" TargetMode="External" /><Relationship Type="http://schemas.openxmlformats.org/officeDocument/2006/relationships/hyperlink" Id="rId56" Target="https://doi.org/10.1037/abn0000901" TargetMode="External" /><Relationship Type="http://schemas.openxmlformats.org/officeDocument/2006/relationships/hyperlink" Id="rId63" Target="https://doi.org/10.1038/s41562-019-0772-6" TargetMode="External" /><Relationship Type="http://schemas.openxmlformats.org/officeDocument/2006/relationships/hyperlink" Id="rId71" Target="https://doi.org/10.1080/1533256X.2011.593445" TargetMode="External" /><Relationship Type="http://schemas.openxmlformats.org/officeDocument/2006/relationships/hyperlink" Id="rId48" Target="https://doi.org/10.1093/med-psych/9780190926717.003.0018" TargetMode="External" /><Relationship Type="http://schemas.openxmlformats.org/officeDocument/2006/relationships/hyperlink" Id="rId77" Target="https://doi.org/10.1145/3090051" TargetMode="External" /><Relationship Type="http://schemas.openxmlformats.org/officeDocument/2006/relationships/hyperlink" Id="rId52" Target="https://doi.org/10.1146/annurev-clinpsy-032816-044949" TargetMode="External" /><Relationship Type="http://schemas.openxmlformats.org/officeDocument/2006/relationships/hyperlink" Id="rId75" Target="https://doi.org/10.2147/PPA.S474535" TargetMode="External" /><Relationship Type="http://schemas.openxmlformats.org/officeDocument/2006/relationships/hyperlink" Id="rId79" Target="https://doi.org/10.2196/39862" TargetMode="External" /><Relationship Type="http://schemas.openxmlformats.org/officeDocument/2006/relationships/hyperlink" Id="rId61" Target="https://doi.org/10.2196/41833" TargetMode="External" /><Relationship Type="http://schemas.openxmlformats.org/officeDocument/2006/relationships/hyperlink" Id="rId59" Target="https://doi.org/10/gfsjzg" TargetMode="External" /><Relationship Type="http://schemas.openxmlformats.org/officeDocument/2006/relationships/hyperlink" Id="rId12" Target="https://jjcurtin.github.io/study_messages/" TargetMode="External" /><Relationship Type="http://schemas.openxmlformats.org/officeDocument/2006/relationships/hyperlink" Id="rId9" Target="https://jjcurtin.github.io/study_messages/index.qmd.html" TargetMode="External" /><Relationship Type="http://schemas.openxmlformats.org/officeDocument/2006/relationships/hyperlink" Id="rId32" Target="https://jjcurtin.github.io/study_messages/notebooks\mak_figures-preview.html#cell-fig-1" TargetMode="External" /><Relationship Type="http://schemas.openxmlformats.org/officeDocument/2006/relationships/hyperlink" Id="rId18" Target="https://jjcurtin.github.io/study_messages/notebooks\mak_tables-preview.html#cell-tbl-1" TargetMode="External" /><Relationship Type="http://schemas.openxmlformats.org/officeDocument/2006/relationships/hyperlink" Id="rId25" Target="https://jjcurtin.github.io/study_messages/notebooks\mak_tables-preview.html#cell-tbl-2" TargetMode="External" /><Relationship Type="http://schemas.openxmlformats.org/officeDocument/2006/relationships/hyperlink" Id="rId11" Target="https://osf.io/wgpz9/" TargetMode="External" /><Relationship Type="http://schemas.openxmlformats.org/officeDocument/2006/relationships/hyperlink" Id="rId43" Target="https://www.ncbi.nlm.nih.gov/pmc/articles/PMC2797101" TargetMode="External" /><Relationship Type="http://schemas.openxmlformats.org/officeDocument/2006/relationships/hyperlink" Id="rId73" Target="https://www.ncbi.nlm.nih.gov/pubmed/10470970" TargetMode="External" /><Relationship Type="http://schemas.openxmlformats.org/officeDocument/2006/relationships/hyperlink" Id="rId67" Target="https://www.ncbi.nlm.nih.gov/pubmed/12056077" TargetMode="External" /><Relationship Type="http://schemas.openxmlformats.org/officeDocument/2006/relationships/hyperlink" Id="rId69" Target="https://www.ncbi.nlm.nih.gov/pubmed/772681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Cellular Communication Sensing for Lapse Risk Prediction During Early Recovery from Alcohol Use Disorder</dc:title>
  <dc:creator>Kendra Wyant; Jiachen Yu; John J. Curtin</dc:creator>
  <cp:keywords>Substance use disorders, Precision Medicine, Machine learning, Digital Phenotyping, Relapse Prevention</cp:keywords>
  <dcterms:created xsi:type="dcterms:W3CDTF">2026-04-17T23:24:26Z</dcterms:created>
  <dcterms:modified xsi:type="dcterms:W3CDTF">2026-04-17T23:24:26Z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Alcohol Use Disorder (AUD) is a chronic, relapsing disease. An automated recovery support system using personal sensing and machine learning may help identify when individuals are at elevated lapse risk. Cellular communication sensing may detect dynamic changes in lapse risk and can be contextualized with self-reported, risk-relevant information about contacts. We evaluated a machine learning model predicting next-day alcohol lapse among individuals in early recovery from AUD using contextualized cellular communication data and baseline alcohol use, demographic, and psychiatric and personality characteristics. A total of 144 participants (49% male; mean age=40; 87% non-Hispanic White) with a goal of abstinence provided cellular communication data and alcohol use reports via a 4x daily EMA for up to three months. Models were trained and evaluated using repeated k-fold cross-validation. The best-performing full model used an elastic net algorithm and retained 10 features (median posterior auROC=0.67, 95% Bayesian credible interval (CI; [0.64, 0.71]). A comparison model including only baseline features demonstrated comparable performance (median auROC=0.69, 95% CI [0.65, 0.72]). Cellular communication features on their own performed poorly, but still above chance performance (median auROC=0.59, 95% CI [0.55, 0.62]). These findings demonstrate that cellular communication data capture some risk-relevant signal for alcohol lapse but do not provide incremental predictive value beyond baseline measures. Several communication features were retained in the final model with moderately sized coefficients, suggesting that aspects of social communication may be important for understanding lapse risk. Although, limitations inherent to cellular communication as a sensing method may outweigh their added value.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messages.bib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plos-one.csl</vt:lpwstr>
  </property>
  <property fmtid="{D5CDD505-2E9C-101B-9397-08002B2CF9AE}" pid="11" name="date">
    <vt:lpwstr>2026-04-17</vt:lpwstr>
  </property>
  <property fmtid="{D5CDD505-2E9C-101B-9397-08002B2CF9AE}" pid="12" name="editor_options">
    <vt:lpwstr/>
  </property>
  <property fmtid="{D5CDD505-2E9C-101B-9397-08002B2CF9AE}" pid="13" name="engine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lightbox">
    <vt:lpwstr>auto</vt:lpwstr>
  </property>
  <property fmtid="{D5CDD505-2E9C-101B-9397-08002B2CF9AE}" pid="20" name="manuscript">
    <vt:lpwstr/>
  </property>
  <property fmtid="{D5CDD505-2E9C-101B-9397-08002B2CF9AE}" pid="21" name="notebook-preview-options">
    <vt:lpwstr/>
  </property>
  <property fmtid="{D5CDD505-2E9C-101B-9397-08002B2CF9AE}" pid="22" name="quarto-internal">
    <vt:lpwstr/>
  </property>
  <property fmtid="{D5CDD505-2E9C-101B-9397-08002B2CF9AE}" pid="23" name="remove-hidden">
    <vt:lpwstr>all</vt:lpwstr>
  </property>
  <property fmtid="{D5CDD505-2E9C-101B-9397-08002B2CF9AE}" pid="24" name="tbl-cap-location">
    <vt:lpwstr>bottom</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manuscript</vt:lpwstr>
  </property>
  <property fmtid="{D5CDD505-2E9C-101B-9397-08002B2CF9AE}" pid="28" name="toc-title">
    <vt:lpwstr>Table of contents</vt:lpwstr>
  </property>
  <property fmtid="{D5CDD505-2E9C-101B-9397-08002B2CF9AE}" pid="29" name="unroll-markdown-cells">
    <vt:lpwstr>True</vt:lpwstr>
  </property>
</Properties>
</file>