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2026-04-17</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for relapse, a full return to harmful drinking</w:t>
      </w:r>
      <w:r>
        <w:t xml:space="preserve"> </w:t>
      </w:r>
      <w:r>
        <w:t xml:space="preserve">[</w:t>
      </w:r>
      <w:r>
        <w:rPr>
          <w:b/>
          <w:bCs/>
        </w:rPr>
        <w:t xml:space="preserve">marlattRelapsePreventionMaintenance1985?</w:t>
      </w:r>
      <w:r>
        <w:t xml:space="preserve">,</w:t>
      </w:r>
      <w:r>
        <w:rPr>
          <w:b/>
          <w:bCs/>
        </w:rPr>
        <w:t xml:space="preserve">marlattRelapsePreventionSecond2007?</w:t>
      </w:r>
      <w:r>
        <w:t xml:space="preserve">]</w:t>
      </w:r>
      <w:r>
        <w:t xml:space="preserve">. While lapses can occur at any point in recovery, they are particularly risky during early recovery</w:t>
      </w:r>
      <w:r>
        <w:t xml:space="preserve"> </w:t>
      </w:r>
      <w:r>
        <w:t xml:space="preserve">[</w:t>
      </w:r>
      <w:r>
        <w:rPr>
          <w:b/>
          <w:bCs/>
        </w:rPr>
        <w:t xml:space="preserve">daleyReducingRiskRelapse2019?</w:t>
      </w:r>
      <w:r>
        <w:t xml:space="preserve">]</w:t>
      </w:r>
      <w:r>
        <w:t xml:space="preserve">. Protective coping mechanisms and socio-environmental resources that support recovery are dynamic and accumulate over time</w:t>
      </w:r>
      <w:r>
        <w:t xml:space="preserve"> </w:t>
      </w:r>
      <w:r>
        <w:t xml:space="preserve">[</w:t>
      </w:r>
      <w:r>
        <w:rPr>
          <w:b/>
          <w:bCs/>
        </w:rPr>
        <w:t xml:space="preserve">clevelandRecoveryRecoveryCapital2021?</w:t>
      </w:r>
      <w:r>
        <w:t xml:space="preserve">]</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[4]</w:t>
      </w:r>
      <w:r>
        <w:t xml:space="preserve">. Early machine learning models using ecological momentary assessment (EMA) data have achieved excellent accuracy in predicting future lapses back to alcohol use in treatment seeking populations</w:t>
      </w:r>
      <w:r>
        <w:t xml:space="preserve"> </w:t>
      </w:r>
      <w:r>
        <w:t xml:space="preserve">[5–7]</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[8,</w:t>
      </w:r>
      <w:r>
        <w:rPr>
          <w:b/>
          <w:bCs/>
        </w:rPr>
        <w:t xml:space="preserve">jonesComplianceEcologicalMomentary2019?</w:t>
      </w:r>
      <w:r>
        <w:t xml:space="preserve">]</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identified via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10"/>
    <w:bookmarkStart w:id="23"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[9]</w:t>
      </w:r>
      <w:r>
        <w:t xml:space="preserve"> </w:t>
      </w:r>
      <w:r>
        <w:t xml:space="preserve">in the supplement. Second, our features, labels, questionnaires, and other study materials are publicly available on our Open Science Framework (OSF) page (</w:t>
      </w:r>
      <w:hyperlink r:id="rId11">
        <w:r>
          <w:rPr>
            <w:rStyle w:val="Hyperlink"/>
          </w:rPr>
          <w:t xml:space="preserve">https://osf.io/wgpz9/</w:t>
        </w:r>
      </w:hyperlink>
      <w:r>
        <w:t xml:space="preserve">). Finally, the annotated analysis scripts are publicly available on our study website (</w:t>
      </w:r>
      <w:hyperlink r:id="rId12">
        <w:r>
          <w:rPr>
            <w:rStyle w:val="Hyperlink"/>
          </w:rPr>
          <w:t xml:space="preserve">https://jjcurtin.github.io/study_messages/</w:t>
        </w:r>
      </w:hyperlink>
      <w:r>
        <w:t xml:space="preserve">).</w:t>
      </w:r>
    </w:p>
    <w:bookmarkEnd w:id="13"/>
    <w:bookmarkStart w:id="14"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[10]</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[11]</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[12]</w:t>
      </w:r>
      <w:r>
        <w:t xml:space="preserve">, and psychiatric symptoms</w:t>
      </w:r>
      <w:r>
        <w:t xml:space="preserve"> </w:t>
      </w:r>
      <w:r>
        <w:t xml:space="preserve">[11,13]</w:t>
      </w:r>
      <w:r>
        <w:t xml:space="preserve">). At the intake visit, approximately two weeks after screening, we collected additional self-report data on abstinence self-efficacy</w:t>
      </w:r>
      <w:r>
        <w:t xml:space="preserve"> </w:t>
      </w:r>
      <w:r>
        <w:t xml:space="preserve">[14]</w:t>
      </w:r>
      <w:r>
        <w:t xml:space="preserve">, craving</w:t>
      </w:r>
      <w:r>
        <w:t xml:space="preserve"> </w:t>
      </w:r>
      <w:r>
        <w:t xml:space="preserve">[15]</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[6,7]</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22" w:name="data-analysis-plan"/>
    <w:p>
      <w:pPr>
        <w:pStyle w:val="Heading2"/>
      </w:pPr>
      <w:r>
        <w:t xml:space="preserve">Data Analysis Plan</w:t>
      </w:r>
    </w:p>
    <w:bookmarkStart w:id="1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6"/>
    <w:bookmarkStart w:id="19"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17"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Total Number of Features, and Indication of Inclusion in Full and Baseline Models</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Make All Tables for Main Manuscript</w:t>
        </w:r>
      </w:hyperlink>
    </w:p>
    <w:bookmarkEnd w:id="19"/>
    <w:bookmarkStart w:id="20"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20"/>
    <w:bookmarkStart w:id="21" w:name="model-evaluation"/>
    <w:p>
      <w:pPr>
        <w:pStyle w:val="Heading3"/>
      </w:pPr>
      <w:r>
        <w:t xml:space="preserve">Model Evaluation</w:t>
      </w:r>
    </w:p>
    <w:p>
      <w:pPr>
        <w:pStyle w:val="FirstParagraph"/>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21"/>
    <w:bookmarkEnd w:id="22"/>
    <w:bookmarkEnd w:id="23"/>
    <w:bookmarkStart w:id="34" w:name="results"/>
    <w:p>
      <w:pPr>
        <w:pStyle w:val="Heading1"/>
      </w:pPr>
      <w:r>
        <w:t xml:space="preserve">Results</w:t>
      </w:r>
    </w:p>
    <w:bookmarkStart w:id="26"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All Tables for Main Manuscript</w:t>
        </w:r>
      </w:hyperlink>
    </w:p>
    <w:bookmarkEnd w:id="26"/>
    <w:bookmarkStart w:id="27"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7"/>
    <w:bookmarkStart w:id="33" w:name="model-evaluation-1"/>
    <w:p>
      <w:pPr>
        <w:pStyle w:val="Heading2"/>
      </w:pPr>
      <w:r>
        <w:t xml:space="preserve">Model Evaluation</w:t>
      </w:r>
    </w:p>
    <w:p>
      <w:pPr>
        <w:pStyle w:val="FirstParagraph"/>
      </w:pPr>
      <w:r>
        <w:t xml:space="preserve">The median posterior auROC for the best performing full model was 0.67, 95% CI [0.64, 0.71].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[0.65, 0.72]).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providing evidence that the model is capturing some signal in the data.</w:t>
      </w:r>
      <w:r>
        <w:t xml:space="preserve"> </w:t>
      </w:r>
      <w:r>
        <w:t xml:space="preserve">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1" w:name="fig-1"/>
          <w:p>
            <w:pPr>
              <w:pStyle w:val="Compact"/>
              <w:jc w:val="center"/>
            </w:pPr>
            <w:r>
              <w:drawing>
                <wp:inline>
                  <wp:extent cx="5334000" cy="2667000"/>
                  <wp:effectExtent b="0" l="0" r="0" t="0"/>
                  <wp:docPr descr="" title="" id="29" name="Picture"/>
                  <a:graphic>
                    <a:graphicData uri="http://schemas.openxmlformats.org/drawingml/2006/picture">
                      <pic:pic>
                        <pic:nvPicPr>
                          <pic:cNvPr descr="index_files/figure-docx/notebooks-mak_figures-fig-1-output-1.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Make All Figures for Main Manuscript</w:t>
        </w:r>
      </w:hyperlink>
    </w:p>
    <w:bookmarkEnd w:id="33"/>
    <w:bookmarkEnd w:id="34"/>
    <w:bookmarkStart w:id="35"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[16]</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[17]</w:t>
      </w:r>
      <w:r>
        <w:t xml:space="preserve"> </w:t>
      </w:r>
      <w:r>
        <w:t xml:space="preserve">and predict future</w:t>
      </w:r>
      <w:r>
        <w:t xml:space="preserve"> </w:t>
      </w:r>
      <w:r>
        <w:t xml:space="preserve">[18]</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5"/>
    <w:bookmarkStart w:id="36" w:name="acknowledgments"/>
    <w:p>
      <w:pPr>
        <w:pStyle w:val="Heading1"/>
      </w:pPr>
      <w:r>
        <w:t xml:space="preserve">Acknowledgments</w:t>
      </w:r>
    </w:p>
    <w:p>
      <w:pPr>
        <w:pStyle w:val="FirstParagraph"/>
      </w:pPr>
      <w:r>
        <w:t xml:space="preserve">The authors wish to thank Susan E. Wanta for her role as the project administrator.</w:t>
      </w:r>
    </w:p>
    <w:bookmarkEnd w:id="36"/>
    <w:bookmarkStart w:id="3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7"/>
    <w:bookmarkStart w:id="38"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8"/>
    <w:bookmarkStart w:id="39"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9"/>
    <w:bookmarkStart w:id="40"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40"/>
    <w:bookmarkStart w:id="74" w:name="references"/>
    <w:p>
      <w:pPr>
        <w:pStyle w:val="Heading1"/>
      </w:pPr>
      <w:r>
        <w:t xml:space="preserve">References</w:t>
      </w:r>
    </w:p>
    <w:bookmarkStart w:id="73" w:name="refs"/>
    <w:bookmarkStart w:id="42"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1">
        <w:r>
          <w:rPr>
            <w:rStyle w:val="Hyperlink"/>
          </w:rPr>
          <w:t xml:space="preserve">10.1001/jama.284.13.1689</w:t>
        </w:r>
      </w:hyperlink>
    </w:p>
    <w:bookmarkEnd w:id="42"/>
    <w:bookmarkStart w:id="44" w:name="ref-dennisManagingAddictionChronic2007"/>
    <w:p>
      <w:pPr>
        <w:pStyle w:val="Bibliography"/>
      </w:pPr>
      <w:r>
        <w:t xml:space="preserve">2.</w:t>
      </w:r>
      <w:r>
        <w:t xml:space="preserve"> </w:t>
      </w:r>
      <w:r>
        <w:t xml:space="preserve">	</w:t>
      </w:r>
      <w:r>
        <w:t xml:space="preserve">Dennis M, Scott CK.</w:t>
      </w:r>
      <w:r>
        <w:t xml:space="preserve"> </w:t>
      </w:r>
      <w:hyperlink r:id="rId4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4"/>
    <w:bookmarkStart w:id="45"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5"/>
    <w:bookmarkStart w:id="47" w:name="ref-mohrPersonalSensingUnderstanding2017"/>
    <w:p>
      <w:pPr>
        <w:pStyle w:val="Bibliography"/>
      </w:pPr>
      <w:r>
        <w:t xml:space="preserve">4.</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46">
        <w:r>
          <w:rPr>
            <w:rStyle w:val="Hyperlink"/>
          </w:rPr>
          <w:t xml:space="preserve">10.1146/annurev-clinpsy-032816-044949</w:t>
        </w:r>
      </w:hyperlink>
    </w:p>
    <w:bookmarkEnd w:id="47"/>
    <w:bookmarkStart w:id="49" w:name="ref-chihPredictiveModelingAddiction2014"/>
    <w:p>
      <w:pPr>
        <w:pStyle w:val="Bibliography"/>
      </w:pPr>
      <w:r>
        <w:t xml:space="preserve">5.</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48">
        <w:r>
          <w:rPr>
            <w:rStyle w:val="Hyperlink"/>
          </w:rPr>
          <w:t xml:space="preserve">10.1016/j.jsat.2013.08.004</w:t>
        </w:r>
      </w:hyperlink>
    </w:p>
    <w:bookmarkEnd w:id="49"/>
    <w:bookmarkStart w:id="51" w:name="ref-wyantMachineLearningModels2024"/>
    <w:p>
      <w:pPr>
        <w:pStyle w:val="Bibliography"/>
      </w:pPr>
      <w:r>
        <w:t xml:space="preserve">6.</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0">
        <w:r>
          <w:rPr>
            <w:rStyle w:val="Hyperlink"/>
          </w:rPr>
          <w:t xml:space="preserve">10.1037/abn0000901</w:t>
        </w:r>
      </w:hyperlink>
    </w:p>
    <w:bookmarkEnd w:id="51"/>
    <w:bookmarkStart w:id="52" w:name="Xd3cf5dced997940b3810fae8f5a19eca304449d"/>
    <w:p>
      <w:pPr>
        <w:pStyle w:val="Bibliography"/>
      </w:pPr>
      <w:r>
        <w:t xml:space="preserve">7.</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2"/>
    <w:bookmarkStart w:id="54" w:name="Xb35ee182d565575e339a0170868456c1684f821"/>
    <w:p>
      <w:pPr>
        <w:pStyle w:val="Bibliography"/>
      </w:pPr>
      <w:r>
        <w:t xml:space="preserve">8.</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53">
        <w:r>
          <w:rPr>
            <w:rStyle w:val="Hyperlink"/>
          </w:rPr>
          <w:t xml:space="preserve">10.2196/41833</w:t>
        </w:r>
      </w:hyperlink>
    </w:p>
    <w:bookmarkEnd w:id="54"/>
    <w:bookmarkStart w:id="56" w:name="X126aebe61d5329fdf5f31356b05d81ee3379203"/>
    <w:p>
      <w:pPr>
        <w:pStyle w:val="Bibliography"/>
      </w:pPr>
      <w:r>
        <w:t xml:space="preserve">9.</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55">
        <w:r>
          <w:rPr>
            <w:rStyle w:val="Hyperlink"/>
          </w:rPr>
          <w:t xml:space="preserve">10.1038/s41562-019-0772-6</w:t>
        </w:r>
      </w:hyperlink>
    </w:p>
    <w:bookmarkEnd w:id="56"/>
    <w:bookmarkStart w:id="57" w:name="ref-hsiehSampleSizeTables1989"/>
    <w:p>
      <w:pPr>
        <w:pStyle w:val="Bibliography"/>
      </w:pPr>
      <w:r>
        <w:t xml:space="preserve">10.</w:t>
      </w:r>
      <w:r>
        <w:t xml:space="preserve"> </w:t>
      </w:r>
      <w:r>
        <w:t xml:space="preserve">	</w:t>
      </w:r>
      <w:r>
        <w:t xml:space="preserve">Hsieh F. Sample size tables for logistic regression. Statistics in Medicine. 1989;8: 795–802.</w:t>
      </w:r>
      <w:r>
        <w:t xml:space="preserve"> </w:t>
      </w:r>
    </w:p>
    <w:bookmarkEnd w:id="57"/>
    <w:bookmarkStart w:id="58" w:name="ref-derogatislBriefSymptomInventory"/>
    <w:p>
      <w:pPr>
        <w:pStyle w:val="Bibliography"/>
      </w:pPr>
      <w:r>
        <w:t xml:space="preserve">11.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58"/>
    <w:bookmarkStart w:id="60" w:name="X88039606d7b5c64f85ee8ea71703c6bdc3d9351"/>
    <w:p>
      <w:pPr>
        <w:pStyle w:val="Bibliography"/>
      </w:pPr>
      <w:r>
        <w:t xml:space="preserve">12.</w:t>
      </w:r>
      <w:r>
        <w:t xml:space="preserve"> </w:t>
      </w:r>
      <w:r>
        <w:t xml:space="preserve">	</w:t>
      </w:r>
      <w:r>
        <w:t xml:space="preserve">Patrick CJ, Curtin JJ, Tellegen A.</w:t>
      </w:r>
      <w:r>
        <w:t xml:space="preserve"> </w:t>
      </w:r>
      <w:hyperlink r:id="rId59">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60"/>
    <w:bookmarkStart w:id="62" w:name="X7237f3e8ec0394639ac33af78d4502788e325cb"/>
    <w:p>
      <w:pPr>
        <w:pStyle w:val="Bibliography"/>
      </w:pPr>
      <w:r>
        <w:t xml:space="preserve">13.</w:t>
      </w:r>
      <w:r>
        <w:t xml:space="preserve"> </w:t>
      </w:r>
      <w:r>
        <w:t xml:space="preserve">	</w:t>
      </w:r>
      <w:r>
        <w:t xml:space="preserve">Lovibond PF, Lovibond SH.</w:t>
      </w:r>
      <w:r>
        <w:t xml:space="preserve"> </w:t>
      </w:r>
      <w:hyperlink r:id="rId61">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62"/>
    <w:bookmarkStart w:id="64" w:name="Xcae8ce16b0973d3f8a23c89fe6ee90c012f333c"/>
    <w:p>
      <w:pPr>
        <w:pStyle w:val="Bibliography"/>
      </w:pPr>
      <w:r>
        <w:t xml:space="preserve">14.</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63">
        <w:r>
          <w:rPr>
            <w:rStyle w:val="Hyperlink"/>
          </w:rPr>
          <w:t xml:space="preserve">10.1080/1533256X.2011.593445</w:t>
        </w:r>
      </w:hyperlink>
    </w:p>
    <w:bookmarkEnd w:id="64"/>
    <w:bookmarkStart w:id="66" w:name="X72fdb242290119aefa439c46cdcc18630f6c0fa"/>
    <w:p>
      <w:pPr>
        <w:pStyle w:val="Bibliography"/>
      </w:pPr>
      <w:r>
        <w:t xml:space="preserve">15.</w:t>
      </w:r>
      <w:r>
        <w:t xml:space="preserve"> </w:t>
      </w:r>
      <w:r>
        <w:t xml:space="preserve">	</w:t>
      </w:r>
      <w:r>
        <w:t xml:space="preserve">Flannery BA, Volpicelli JR, Pettinati HM.</w:t>
      </w:r>
      <w:r>
        <w:t xml:space="preserve"> </w:t>
      </w:r>
      <w:hyperlink r:id="rId65">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66"/>
    <w:bookmarkStart w:id="68" w:name="X948b064f539498125570f43a275c11fe3804a5f"/>
    <w:p>
      <w:pPr>
        <w:pStyle w:val="Bibliography"/>
      </w:pPr>
      <w:r>
        <w:t xml:space="preserve">16.</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67">
        <w:r>
          <w:rPr>
            <w:rStyle w:val="Hyperlink"/>
          </w:rPr>
          <w:t xml:space="preserve">10.2147/PPA.S474535</w:t>
        </w:r>
      </w:hyperlink>
    </w:p>
    <w:bookmarkEnd w:id="68"/>
    <w:bookmarkStart w:id="70" w:name="ref-baeDetectingDrinkingEpisodes2017"/>
    <w:p>
      <w:pPr>
        <w:pStyle w:val="Bibliography"/>
      </w:pPr>
      <w:r>
        <w:t xml:space="preserve">17.</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69">
        <w:r>
          <w:rPr>
            <w:rStyle w:val="Hyperlink"/>
          </w:rPr>
          <w:t xml:space="preserve">10.1145/3090051</w:t>
        </w:r>
      </w:hyperlink>
    </w:p>
    <w:bookmarkEnd w:id="70"/>
    <w:bookmarkStart w:id="72" w:name="ref-baeLeveragingMobilePhone2023"/>
    <w:p>
      <w:pPr>
        <w:pStyle w:val="Bibliography"/>
      </w:pPr>
      <w:r>
        <w:t xml:space="preserve">18.</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71">
        <w:r>
          <w:rPr>
            <w:rStyle w:val="Hyperlink"/>
          </w:rPr>
          <w:t xml:space="preserve">10.2196/39862</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41"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50" Target="https://doi.org/10.1037/abn0000901" TargetMode="External" /><Relationship Type="http://schemas.openxmlformats.org/officeDocument/2006/relationships/hyperlink" Id="rId55" Target="https://doi.org/10.1038/s41562-019-0772-6" TargetMode="External" /><Relationship Type="http://schemas.openxmlformats.org/officeDocument/2006/relationships/hyperlink" Id="rId63" Target="https://doi.org/10.1080/1533256X.2011.593445" TargetMode="External" /><Relationship Type="http://schemas.openxmlformats.org/officeDocument/2006/relationships/hyperlink" Id="rId69" Target="https://doi.org/10.1145/3090051" TargetMode="External" /><Relationship Type="http://schemas.openxmlformats.org/officeDocument/2006/relationships/hyperlink" Id="rId46" Target="https://doi.org/10.1146/annurev-clinpsy-032816-044949" TargetMode="External" /><Relationship Type="http://schemas.openxmlformats.org/officeDocument/2006/relationships/hyperlink" Id="rId67" Target="https://doi.org/10.2147/PPA.S474535" TargetMode="External" /><Relationship Type="http://schemas.openxmlformats.org/officeDocument/2006/relationships/hyperlink" Id="rId71" Target="https://doi.org/10.2196/39862" TargetMode="External" /><Relationship Type="http://schemas.openxmlformats.org/officeDocument/2006/relationships/hyperlink" Id="rId53" Target="https://doi.org/10.2196/41833" TargetMode="External" /><Relationship Type="http://schemas.openxmlformats.org/officeDocument/2006/relationships/hyperlink" Id="rId12" Target="https://jjcurtin.github.io/study_messages/" TargetMode="External" /><Relationship Type="http://schemas.openxmlformats.org/officeDocument/2006/relationships/hyperlink" Id="rId9" Target="https://jjcurtin.github.io/study_messages/index.qmd.html" TargetMode="External" /><Relationship Type="http://schemas.openxmlformats.org/officeDocument/2006/relationships/hyperlink" Id="rId32" Target="https://jjcurtin.github.io/study_messages/notebooks\mak_figures-preview.html#cell-fig-1" TargetMode="External" /><Relationship Type="http://schemas.openxmlformats.org/officeDocument/2006/relationships/hyperlink" Id="rId18" Target="https://jjcurtin.github.io/study_messages/notebooks\mak_tables-preview.html#cell-tbl-1" TargetMode="External" /><Relationship Type="http://schemas.openxmlformats.org/officeDocument/2006/relationships/hyperlink" Id="rId25"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3" Target="https://www.ncbi.nlm.nih.gov/pmc/articles/PMC2797101" TargetMode="External" /><Relationship Type="http://schemas.openxmlformats.org/officeDocument/2006/relationships/hyperlink" Id="rId65" Target="https://www.ncbi.nlm.nih.gov/pubmed/10470970" TargetMode="External" /><Relationship Type="http://schemas.openxmlformats.org/officeDocument/2006/relationships/hyperlink" Id="rId59" Target="https://www.ncbi.nlm.nih.gov/pubmed/12056077" TargetMode="External" /><Relationship Type="http://schemas.openxmlformats.org/officeDocument/2006/relationships/hyperlink" Id="rId61"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50" Target="https://doi.org/10.1037/abn0000901" TargetMode="External" /><Relationship Type="http://schemas.openxmlformats.org/officeDocument/2006/relationships/hyperlink" Id="rId55" Target="https://doi.org/10.1038/s41562-019-0772-6" TargetMode="External" /><Relationship Type="http://schemas.openxmlformats.org/officeDocument/2006/relationships/hyperlink" Id="rId63" Target="https://doi.org/10.1080/1533256X.2011.593445" TargetMode="External" /><Relationship Type="http://schemas.openxmlformats.org/officeDocument/2006/relationships/hyperlink" Id="rId69" Target="https://doi.org/10.1145/3090051" TargetMode="External" /><Relationship Type="http://schemas.openxmlformats.org/officeDocument/2006/relationships/hyperlink" Id="rId46" Target="https://doi.org/10.1146/annurev-clinpsy-032816-044949" TargetMode="External" /><Relationship Type="http://schemas.openxmlformats.org/officeDocument/2006/relationships/hyperlink" Id="rId67" Target="https://doi.org/10.2147/PPA.S474535" TargetMode="External" /><Relationship Type="http://schemas.openxmlformats.org/officeDocument/2006/relationships/hyperlink" Id="rId71" Target="https://doi.org/10.2196/39862" TargetMode="External" /><Relationship Type="http://schemas.openxmlformats.org/officeDocument/2006/relationships/hyperlink" Id="rId53" Target="https://doi.org/10.2196/41833" TargetMode="External" /><Relationship Type="http://schemas.openxmlformats.org/officeDocument/2006/relationships/hyperlink" Id="rId12" Target="https://jjcurtin.github.io/study_messages/" TargetMode="External" /><Relationship Type="http://schemas.openxmlformats.org/officeDocument/2006/relationships/hyperlink" Id="rId9" Target="https://jjcurtin.github.io/study_messages/index.qmd.html" TargetMode="External" /><Relationship Type="http://schemas.openxmlformats.org/officeDocument/2006/relationships/hyperlink" Id="rId32" Target="https://jjcurtin.github.io/study_messages/notebooks\mak_figures-preview.html#cell-fig-1" TargetMode="External" /><Relationship Type="http://schemas.openxmlformats.org/officeDocument/2006/relationships/hyperlink" Id="rId18" Target="https://jjcurtin.github.io/study_messages/notebooks\mak_tables-preview.html#cell-tbl-1" TargetMode="External" /><Relationship Type="http://schemas.openxmlformats.org/officeDocument/2006/relationships/hyperlink" Id="rId25"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3" Target="https://www.ncbi.nlm.nih.gov/pmc/articles/PMC2797101" TargetMode="External" /><Relationship Type="http://schemas.openxmlformats.org/officeDocument/2006/relationships/hyperlink" Id="rId65" Target="https://www.ncbi.nlm.nih.gov/pubmed/10470970" TargetMode="External" /><Relationship Type="http://schemas.openxmlformats.org/officeDocument/2006/relationships/hyperlink" Id="rId59" Target="https://www.ncbi.nlm.nih.gov/pubmed/12056077" TargetMode="External" /><Relationship Type="http://schemas.openxmlformats.org/officeDocument/2006/relationships/hyperlink" Id="rId61"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2026-04-17T22:56:36Z</dcterms:created>
  <dcterms:modified xsi:type="dcterms:W3CDTF">2026-04-17T22:56:36Z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2026-04-17</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