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52.png" ContentType="image/png"/>
  <Override PartName="/word/media/rId77.png" ContentType="image/png"/>
  <Override PartName="/word/media/rId82.png" ContentType="image/png"/>
  <Override PartName="/word/media/rId62.png" ContentType="image/png"/>
  <Override PartName="/word/media/rId67.png" ContentType="image/png"/>
  <Override PartName="/word/media/rId57.png" ContentType="image/png"/>
  <Override PartName="/word/media/rId87.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Feasibility</w:t>
      </w:r>
      <w:r>
        <w:t xml:space="preserve"> </w:t>
      </w:r>
      <w:r>
        <w:t xml:space="preserve">and</w:t>
      </w:r>
      <w:r>
        <w:t xml:space="preserve"> </w:t>
      </w:r>
      <w:r>
        <w:t xml:space="preserve">Equity</w:t>
      </w:r>
      <w:r>
        <w:t xml:space="preserve"> </w:t>
      </w:r>
      <w:r>
        <w:t xml:space="preserve">of</w:t>
      </w:r>
      <w:r>
        <w:t xml:space="preserve"> </w:t>
      </w:r>
      <w:r>
        <w:t xml:space="preserve">Geolocation</w:t>
      </w:r>
      <w:r>
        <w:t xml:space="preserve"> </w:t>
      </w:r>
      <w:r>
        <w:t xml:space="preserve">Data</w:t>
      </w:r>
      <w:r>
        <w:t xml:space="preserve"> </w:t>
      </w:r>
      <w:r>
        <w:t xml:space="preserve">for</w:t>
      </w:r>
      <w:r>
        <w:t xml:space="preserve"> </w:t>
      </w:r>
      <w:r>
        <w:t xml:space="preserve">Lapse</w:t>
      </w:r>
      <w:r>
        <w:t xml:space="preserve"> </w:t>
      </w:r>
      <w:r>
        <w:t xml:space="preserve">Prediction</w:t>
      </w:r>
      <w:r>
        <w:t xml:space="preserve"> </w:t>
      </w:r>
      <w:r>
        <w:t xml:space="preserve">in</w:t>
      </w:r>
      <w:r>
        <w:t xml:space="preserve"> </w:t>
      </w:r>
      <w:r>
        <w:t xml:space="preserve">AUD</w:t>
      </w:r>
    </w:p>
    <w:p>
      <w:pPr>
        <w:pStyle w:val="Author"/>
      </w:pPr>
      <w:r>
        <w:t xml:space="preserve">Claire</w:t>
      </w:r>
      <w:r>
        <w:t xml:space="preserve"> </w:t>
      </w:r>
      <w:r>
        <w:t xml:space="preserve">Punturieri</w:t>
      </w:r>
    </w:p>
    <w:p>
      <w:pPr>
        <w:pStyle w:val="Author"/>
      </w:pPr>
      <w:r>
        <w:t xml:space="preserve">John</w:t>
      </w:r>
      <w:r>
        <w:t xml:space="preserve"> </w:t>
      </w:r>
      <w:r>
        <w:t xml:space="preserve">J.</w:t>
      </w:r>
      <w:r>
        <w:t xml:space="preserve"> </w:t>
      </w:r>
      <w:r>
        <w:t xml:space="preserve">Curtin</w:t>
      </w:r>
    </w:p>
    <w:p>
      <w:pPr>
        <w:pStyle w:val="Date"/>
      </w:pPr>
      <w:r>
        <w:t xml:space="preserve">2024-10-16</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Moshontz,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Moshontz, et al. 2023)</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Sant’Ana, et al. 2023)</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Moshontz,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5"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Sant’Ana, et al. 2023; Wyant, Moshontz,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Sant’Ana, et al. 2023)</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39" w:name="measures"/>
    <w:p>
      <w:pPr>
        <w:pStyle w:val="Heading2"/>
      </w:pPr>
      <w:r>
        <w:t xml:space="preserve">Measures</w:t>
      </w:r>
    </w:p>
    <w:bookmarkStart w:id="36"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r>
        <w:rPr>
          <w:i/>
          <w:iCs/>
        </w:rPr>
        <w:t xml:space="preserve">Table 1</w:t>
      </w:r>
      <w:r>
        <w:t xml:space="preserve">).</w:t>
      </w:r>
    </w:p>
    <w:p>
      <w:pPr>
        <w:pStyle w:val="TableCaption"/>
      </w:pPr>
      <w:r>
        <w:t xml:space="preserve">Participant self-reported measures</w:t>
      </w:r>
    </w:p>
    <w:tbl>
      <w:tblPr>
        <w:tblStyle w:val="Table"/>
        <w:tblW w:type="pct" w:w="5000"/>
        <w:tblLayout w:type="fixed"/>
        <w:tblLook w:firstRow="1" w:lastRow="0" w:firstColumn="0" w:lastColumn="0" w:noHBand="0" w:noVBand="0" w:val="0020"/>
        <w:tblCaption w:val="Participant self-reported measures"/>
      </w:tblPr>
      <w:tblGrid>
        <w:gridCol w:w="2420"/>
        <w:gridCol w:w="5500"/>
      </w:tblGrid>
      <w:tr>
        <w:trPr>
          <w:tblHeader w:val="on"/>
        </w:trPr>
        <w:tc>
          <w:tcPr/>
          <w:p>
            <w:pPr>
              <w:pStyle w:val="Compact"/>
              <w:jc w:val="left"/>
            </w:pPr>
            <w:r>
              <w:t xml:space="preserve">Log Type</w:t>
            </w:r>
          </w:p>
        </w:tc>
        <w:tc>
          <w:tcPr/>
          <w:p>
            <w:pPr>
              <w:pStyle w:val="Compact"/>
              <w:jc w:val="left"/>
            </w:pPr>
            <w:r>
              <w:t xml:space="preserve">Measure</w:t>
            </w:r>
          </w:p>
        </w:tc>
      </w:tr>
      <w:tr>
        <w:tc>
          <w:tcPr/>
          <w:p>
            <w:pPr>
              <w:pStyle w:val="Compact"/>
              <w:jc w:val="left"/>
            </w:pPr>
            <w:r>
              <w:t xml:space="preserve">Demographics</w:t>
            </w:r>
          </w:p>
        </w:tc>
        <w:tc>
          <w:tcPr/>
          <w:p>
            <w:pPr>
              <w:pStyle w:val="Compact"/>
              <w:jc w:val="left"/>
            </w:pPr>
            <w:r>
              <w:t xml:space="preserve">Age</w:t>
            </w:r>
          </w:p>
        </w:tc>
      </w:tr>
      <w:tr>
        <w:tc>
          <w:tcPr/>
          <w:p>
            <w:pPr>
              <w:pStyle w:val="Compact"/>
            </w:pPr>
          </w:p>
        </w:tc>
        <w:tc>
          <w:tcPr/>
          <w:p>
            <w:pPr>
              <w:pStyle w:val="Compact"/>
              <w:jc w:val="left"/>
            </w:pPr>
            <w:r>
              <w:t xml:space="preserve">Sex</w:t>
            </w:r>
          </w:p>
        </w:tc>
      </w:tr>
      <w:tr>
        <w:tc>
          <w:tcPr/>
          <w:p>
            <w:pPr>
              <w:pStyle w:val="Compact"/>
            </w:pPr>
          </w:p>
        </w:tc>
        <w:tc>
          <w:tcPr/>
          <w:p>
            <w:pPr>
              <w:pStyle w:val="Compact"/>
              <w:jc w:val="left"/>
            </w:pPr>
            <w:r>
              <w:t xml:space="preserve">Race</w:t>
            </w:r>
          </w:p>
        </w:tc>
      </w:tr>
      <w:tr>
        <w:tc>
          <w:tcPr/>
          <w:p>
            <w:pPr>
              <w:pStyle w:val="Compact"/>
            </w:pPr>
          </w:p>
        </w:tc>
        <w:tc>
          <w:tcPr/>
          <w:p>
            <w:pPr>
              <w:pStyle w:val="Compact"/>
              <w:jc w:val="left"/>
            </w:pPr>
            <w:r>
              <w:t xml:space="preserve">Ethnicity</w:t>
            </w:r>
          </w:p>
        </w:tc>
      </w:tr>
      <w:tr>
        <w:tc>
          <w:tcPr/>
          <w:p>
            <w:pPr>
              <w:pStyle w:val="Compact"/>
            </w:pPr>
          </w:p>
        </w:tc>
        <w:tc>
          <w:tcPr/>
          <w:p>
            <w:pPr>
              <w:pStyle w:val="Compact"/>
              <w:jc w:val="left"/>
            </w:pPr>
            <w:r>
              <w:t xml:space="preserve">Highest Education</w:t>
            </w:r>
          </w:p>
        </w:tc>
      </w:tr>
      <w:tr>
        <w:tc>
          <w:tcPr/>
          <w:p>
            <w:pPr>
              <w:pStyle w:val="Compact"/>
            </w:pPr>
          </w:p>
        </w:tc>
        <w:tc>
          <w:tcPr/>
          <w:p>
            <w:pPr>
              <w:pStyle w:val="Compact"/>
              <w:jc w:val="left"/>
            </w:pPr>
            <w:r>
              <w:t xml:space="preserve">Employment Status</w:t>
            </w:r>
          </w:p>
        </w:tc>
      </w:tr>
      <w:tr>
        <w:tc>
          <w:tcPr/>
          <w:p>
            <w:pPr>
              <w:pStyle w:val="Compact"/>
            </w:pPr>
          </w:p>
        </w:tc>
        <w:tc>
          <w:tcPr/>
          <w:p>
            <w:pPr>
              <w:pStyle w:val="Compact"/>
              <w:jc w:val="left"/>
            </w:pPr>
            <w:r>
              <w:t xml:space="preserve">Total Personal Gross Income</w:t>
            </w:r>
          </w:p>
        </w:tc>
      </w:tr>
      <w:tr>
        <w:tc>
          <w:tcPr/>
          <w:p>
            <w:pPr>
              <w:pStyle w:val="Compact"/>
            </w:pPr>
          </w:p>
        </w:tc>
        <w:tc>
          <w:tcPr/>
          <w:p>
            <w:pPr>
              <w:pStyle w:val="Compact"/>
              <w:jc w:val="left"/>
            </w:pPr>
            <w:r>
              <w:t xml:space="preserve">Marital Status</w:t>
            </w:r>
          </w:p>
        </w:tc>
      </w:tr>
      <w:tr>
        <w:tc>
          <w:tcPr/>
          <w:p>
            <w:pPr>
              <w:pStyle w:val="Compact"/>
            </w:pPr>
          </w:p>
        </w:tc>
        <w:tc>
          <w:tcPr/>
          <w:p>
            <w:pPr>
              <w:pStyle w:val="Compact"/>
              <w:jc w:val="left"/>
            </w:pPr>
            <w:r>
              <w:t xml:space="preserve">Family Member</w:t>
            </w:r>
          </w:p>
        </w:tc>
      </w:tr>
      <w:tr>
        <w:tc>
          <w:tcPr/>
          <w:p>
            <w:pPr>
              <w:pStyle w:val="Compact"/>
              <w:jc w:val="left"/>
            </w:pPr>
            <w:r>
              <w:t xml:space="preserve">Alcohol Use</w:t>
            </w:r>
          </w:p>
        </w:tc>
        <w:tc>
          <w:tcPr/>
          <w:p>
            <w:pPr>
              <w:pStyle w:val="Compact"/>
              <w:jc w:val="left"/>
            </w:pPr>
            <w:r>
              <w:t xml:space="preserve">Alcohol Use History</w:t>
            </w:r>
          </w:p>
        </w:tc>
      </w:tr>
      <w:tr>
        <w:tc>
          <w:tcPr/>
          <w:p>
            <w:pPr>
              <w:pStyle w:val="Compact"/>
            </w:pPr>
          </w:p>
        </w:tc>
        <w:tc>
          <w:tcPr/>
          <w:p>
            <w:pPr>
              <w:pStyle w:val="Compact"/>
              <w:jc w:val="left"/>
            </w:pPr>
            <w:r>
              <w:t xml:space="preserve">DSM-5 Checklist for AUD</w:t>
            </w:r>
          </w:p>
        </w:tc>
      </w:tr>
      <w:tr>
        <w:tc>
          <w:tcPr/>
          <w:p>
            <w:pPr>
              <w:pStyle w:val="Compact"/>
            </w:pPr>
          </w:p>
        </w:tc>
        <w:tc>
          <w:tcPr/>
          <w:p>
            <w:pPr>
              <w:pStyle w:val="Compact"/>
              <w:jc w:val="left"/>
            </w:pPr>
            <w:r>
              <w:t xml:space="preserve">Young Adult Alcohol Problems Test</w:t>
            </w:r>
          </w:p>
        </w:tc>
      </w:tr>
      <w:tr>
        <w:tc>
          <w:tcPr/>
          <w:p>
            <w:pPr>
              <w:pStyle w:val="Compact"/>
            </w:pPr>
          </w:p>
        </w:tc>
        <w:tc>
          <w:tcPr/>
          <w:p>
            <w:pPr>
              <w:pStyle w:val="Compact"/>
              <w:jc w:val="left"/>
            </w:pPr>
            <w:r>
              <w:t xml:space="preserve">WHO-The Alcohol, Smoking and Substance Involvement Screening Test</w:t>
            </w:r>
          </w:p>
        </w:tc>
      </w:tr>
    </w:tbl>
    <w:bookmarkEnd w:id="36"/>
    <w:bookmarkStart w:id="37"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7"/>
    <w:bookmarkStart w:id="38"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8"/>
    <w:bookmarkEnd w:id="39"/>
    <w:bookmarkStart w:id="40"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0"/>
    <w:bookmarkStart w:id="41"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1"/>
    <w:bookmarkStart w:id="42"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2"/>
    <w:bookmarkStart w:id="43"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3"/>
    <w:bookmarkStart w:id="44"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4"/>
    <w:bookmarkEnd w:id="45"/>
    <w:bookmarkStart w:id="96" w:name="results"/>
    <w:p>
      <w:pPr>
        <w:pStyle w:val="Heading1"/>
      </w:pPr>
      <w:r>
        <w:t xml:space="preserve">Results</w:t>
      </w:r>
    </w:p>
    <w:bookmarkStart w:id="51" w:name="demographics"/>
    <w:p>
      <w:pPr>
        <w:pStyle w:val="Heading2"/>
      </w:pPr>
      <w:r>
        <w:t xml:space="preserve">Demographics</w:t>
      </w:r>
    </w:p>
    <w:p>
      <w:pPr>
        <w:pStyle w:val="FirstParagraph"/>
      </w:pPr>
      <w:r>
        <w:t xml:space="preserve">The final sample includes 138.00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49" w:name="fig-demographics"/>
          <w:p>
            <w:pPr>
              <w:pStyle w:val="Compact"/>
              <w:jc w:val="center"/>
            </w:pPr>
            <w:r>
              <w:drawing>
                <wp:inline>
                  <wp:extent cx="5334000" cy="2667000"/>
                  <wp:effectExtent b="0" l="0" r="0" t="0"/>
                  <wp:docPr descr="" title="" id="47" name="Picture"/>
                  <a:graphic>
                    <a:graphicData uri="http://schemas.openxmlformats.org/drawingml/2006/picture">
                      <pic:pic>
                        <pic:nvPicPr>
                          <pic:cNvPr descr="index_files/figure-docx/notebooks-eda_demographics-fig-demographics-output-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EDA on Subject Demographics</w:t>
        </w:r>
      </w:hyperlink>
    </w:p>
    <w:bookmarkEnd w:id="51"/>
    <w:bookmarkStart w:id="92" w:name="sample-distribution"/>
    <w:p>
      <w:pPr>
        <w:pStyle w:val="Heading2"/>
      </w:pPr>
      <w:r>
        <w:t xml:space="preserve">Sample Distribution</w:t>
      </w:r>
    </w:p>
    <w:p>
      <w:pPr>
        <w:pStyle w:val="FirstParagraph"/>
      </w:pPr>
      <w:r>
        <w:t xml:space="preserve">The final total number of lapse labels in the dataset is 11562.00. On average, each participant has 83.78 labels (sd = 11.35, median = 88.00, range = 30.00 - 90.00).</w:t>
      </w:r>
    </w:p>
    <w:p>
      <w:pPr>
        <w:pStyle w:val="BodyText"/>
      </w:pPr>
      <w:r>
        <w:t xml:space="preserve">The total number of messages in the dataset is 313492.00.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55" w:name="fig-message_count"/>
                <w:p>
                  <w:pPr>
                    <w:pStyle w:val="Compact"/>
                    <w:jc w:val="center"/>
                    <w:jc w:val="left"/>
                  </w:pPr>
                  <w:r>
                    <w:drawing>
                      <wp:inline>
                        <wp:extent cx="5334000" cy="3810000"/>
                        <wp:effectExtent b="0" l="0" r="0" t="0"/>
                        <wp:docPr descr="" title="" id="53" name="Picture"/>
                        <a:graphic>
                          <a:graphicData uri="http://schemas.openxmlformats.org/drawingml/2006/picture">
                            <pic:pic>
                              <pic:nvPicPr>
                                <pic:cNvPr descr="index_files/figure-docx/notebooks-eda_messages-fig-message_count-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3: Distribution of Message Counts</w:t>
                  </w:r>
                </w:p>
                <w:bookmarkEnd w:id="55"/>
              </w:tc>
            </w:tr>
          </w:tbl>
          <w:p>
            <w:pPr>
              <w:jc w:val="left"/>
            </w:pPr>
            <w:r>
              <w:rPr>
                <w:vertAlign w:val="subscript"/>
              </w:rPr>
              <w:t xml:space="preserve">Source:</w:t>
            </w:r>
            <w:r>
              <w:rPr>
                <w:vertAlign w:val="subscript"/>
              </w:rPr>
              <w:t xml:space="preserve"> </w:t>
            </w:r>
            <w:hyperlink r:id="rId5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60" w:name="fig-message_length"/>
                <w:p>
                  <w:pPr>
                    <w:pStyle w:val="Compact"/>
                    <w:jc w:val="center"/>
                    <w:jc w:val="left"/>
                  </w:pPr>
                  <w:r>
                    <w:drawing>
                      <wp:inline>
                        <wp:extent cx="5334000" cy="3810000"/>
                        <wp:effectExtent b="0" l="0" r="0" t="0"/>
                        <wp:docPr descr="" title="" id="58" name="Picture"/>
                        <a:graphic>
                          <a:graphicData uri="http://schemas.openxmlformats.org/drawingml/2006/picture">
                            <pic:pic>
                              <pic:nvPicPr>
                                <pic:cNvPr descr="index_files/figure-docx/notebooks-eda_messages-fig-message_length-output-1.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4: Distribution of Mean Message Length</w:t>
                  </w:r>
                </w:p>
                <w:bookmarkEnd w:id="60"/>
              </w:tc>
            </w:tr>
          </w:tbl>
          <w:p>
            <w:pPr>
              <w:jc w:val="left"/>
            </w:pPr>
            <w:r>
              <w:rPr>
                <w:vertAlign w:val="subscript"/>
              </w:rPr>
              <w:t xml:space="preserve">Source:</w:t>
            </w:r>
            <w:r>
              <w:rPr>
                <w:vertAlign w:val="subscript"/>
              </w:rPr>
              <w:t xml:space="preserve"> </w:t>
            </w:r>
            <w:hyperlink r:id="rId61">
              <w:r>
                <w:rPr>
                  <w:rStyle w:val="Hyperlink"/>
                  <w:vertAlign w:val="subscript"/>
                </w:rPr>
                <w:t xml:space="preserve">EDA on Raw Messages</w:t>
              </w:r>
            </w:hyperlink>
          </w:p>
        </w:tc>
      </w:tr>
    </w:tbl>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5" w:name="fig-message_count_3day"/>
          <w:p>
            <w:pPr>
              <w:pStyle w:val="Compact"/>
              <w:jc w:val="center"/>
            </w:pPr>
            <w:r>
              <w:drawing>
                <wp:inline>
                  <wp:extent cx="5334000" cy="3810000"/>
                  <wp:effectExtent b="0" l="0" r="0" t="0"/>
                  <wp:docPr descr="" title="" id="63" name="Picture"/>
                  <a:graphic>
                    <a:graphicData uri="http://schemas.openxmlformats.org/drawingml/2006/picture">
                      <pic:pic>
                        <pic:nvPicPr>
                          <pic:cNvPr descr="index_files/figure-docx/notebooks-eda_messages-fig-message_count_3day-output-2.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Distribution of Message Counts in the 3-Day Prediction Window</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70" w:name="fig-message_count_3day_byid"/>
                <w:p>
                  <w:pPr>
                    <w:pStyle w:val="Compact"/>
                    <w:jc w:val="center"/>
                    <w:jc w:val="left"/>
                  </w:pPr>
                  <w:r>
                    <w:drawing>
                      <wp:inline>
                        <wp:extent cx="5334000" cy="3810000"/>
                        <wp:effectExtent b="0" l="0" r="0" t="0"/>
                        <wp:docPr descr="" title="" id="68" name="Picture"/>
                        <a:graphic>
                          <a:graphicData uri="http://schemas.openxmlformats.org/drawingml/2006/picture">
                            <pic:pic>
                              <pic:nvPicPr>
                                <pic:cNvPr descr="index_files/figure-docx/notebooks-eda_messages-fig-message_count_3day_byid-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6: Distribution of Message Counts by Subject in the 3-Day Prediction Window</w:t>
                  </w:r>
                </w:p>
                <w:bookmarkEnd w:id="70"/>
              </w:tc>
            </w:tr>
          </w:tbl>
          <w:p>
            <w:pPr>
              <w:jc w:val="left"/>
            </w:pPr>
            <w:r>
              <w:rPr>
                <w:vertAlign w:val="subscript"/>
              </w:rPr>
              <w:t xml:space="preserve">Source:</w:t>
            </w:r>
            <w:r>
              <w:rPr>
                <w:vertAlign w:val="subscript"/>
              </w:rPr>
              <w:t xml:space="preserve"> </w:t>
            </w:r>
            <w:hyperlink r:id="rId71">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75" w:name="fig-missingness_3day_byid"/>
                <w:p>
                  <w:pPr>
                    <w:pStyle w:val="Compact"/>
                    <w:jc w:val="center"/>
                    <w:jc w:val="left"/>
                  </w:pPr>
                  <w:r>
                    <w:drawing>
                      <wp:inline>
                        <wp:extent cx="5334000" cy="3810000"/>
                        <wp:effectExtent b="0" l="0" r="0" t="0"/>
                        <wp:docPr descr="" title="" id="73" name="Picture"/>
                        <a:graphic>
                          <a:graphicData uri="http://schemas.openxmlformats.org/drawingml/2006/picture">
                            <pic:pic>
                              <pic:nvPicPr>
                                <pic:cNvPr descr="index_files/figure-docx/notebooks-eda_messages-fig-missingness_3day_byid-output-2.png" id="74" name="Picture"/>
                                <pic:cNvPicPr>
                                  <a:picLocks noChangeArrowheads="1" noChangeAspect="1"/>
                                </pic:cNvPicPr>
                              </pic:nvPicPr>
                              <pic:blipFill>
                                <a:blip r:embed="rId7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7: Distribution of Missingness by Subject in the 3-Day Prediction Window</w:t>
                  </w:r>
                </w:p>
                <w:bookmarkEnd w:id="75"/>
              </w:tc>
            </w:tr>
          </w:tbl>
          <w:p>
            <w:pPr>
              <w:jc w:val="left"/>
            </w:pPr>
            <w:r>
              <w:rPr>
                <w:vertAlign w:val="subscript"/>
              </w:rPr>
              <w:t xml:space="preserve">Source:</w:t>
            </w:r>
            <w:r>
              <w:rPr>
                <w:vertAlign w:val="subscript"/>
              </w:rPr>
              <w:t xml:space="preserve"> </w:t>
            </w:r>
            <w:hyperlink r:id="rId76">
              <w:r>
                <w:rPr>
                  <w:rStyle w:val="Hyperlink"/>
                  <w:vertAlign w:val="subscript"/>
                </w:rPr>
                <w:t xml:space="preserve">EDA on Raw Messages</w:t>
              </w:r>
            </w:hyperlink>
          </w:p>
        </w:tc>
      </w:tr>
    </w:tbl>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80" w:name="fig-message_count_1week"/>
          <w:p>
            <w:pPr>
              <w:pStyle w:val="Compact"/>
              <w:jc w:val="center"/>
            </w:pPr>
            <w:r>
              <w:drawing>
                <wp:inline>
                  <wp:extent cx="5334000" cy="3810000"/>
                  <wp:effectExtent b="0" l="0" r="0" t="0"/>
                  <wp:docPr descr="" title="" id="78" name="Picture"/>
                  <a:graphic>
                    <a:graphicData uri="http://schemas.openxmlformats.org/drawingml/2006/picture">
                      <pic:pic>
                        <pic:nvPicPr>
                          <pic:cNvPr descr="index_files/figure-docx/notebooks-eda_messages-fig-message_count_1week-output-2.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Message Counts in the 1-Week Prediction Window</w:t>
            </w:r>
          </w:p>
          <w:bookmarkEnd w:id="80"/>
        </w:tc>
      </w:tr>
    </w:tbl>
    <w:p>
      <w:pPr>
        <w:pStyle w:val="BodyText"/>
      </w:pPr>
      <w:r>
        <w:rPr>
          <w:vertAlign w:val="subscript"/>
        </w:rPr>
        <w:t xml:space="preserve">Source:</w:t>
      </w:r>
      <w:r>
        <w:rPr>
          <w:vertAlign w:val="subscript"/>
        </w:rPr>
        <w:t xml:space="preserve"> </w:t>
      </w:r>
      <w:hyperlink r:id="rId81">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5" w:name="fig-message_count_1week_byid"/>
                <w:p>
                  <w:pPr>
                    <w:pStyle w:val="Compact"/>
                    <w:jc w:val="center"/>
                    <w:jc w:val="left"/>
                  </w:pPr>
                  <w:r>
                    <w:drawing>
                      <wp:inline>
                        <wp:extent cx="5334000" cy="3810000"/>
                        <wp:effectExtent b="0" l="0" r="0" t="0"/>
                        <wp:docPr descr="" title="" id="83" name="Picture"/>
                        <a:graphic>
                          <a:graphicData uri="http://schemas.openxmlformats.org/drawingml/2006/picture">
                            <pic:pic>
                              <pic:nvPicPr>
                                <pic:cNvPr descr="index_files/figure-docx/notebooks-eda_messages-fig-message_count_1week_byid-output-2.png" id="84" name="Picture"/>
                                <pic:cNvPicPr>
                                  <a:picLocks noChangeArrowheads="1" noChangeAspect="1"/>
                                </pic:cNvPicPr>
                              </pic:nvPicPr>
                              <pic:blipFill>
                                <a:blip r:embed="rId8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Distribution of Message Counts by Subject in the 1-Week Prediction Window</w:t>
                  </w:r>
                </w:p>
                <w:bookmarkEnd w:id="85"/>
              </w:tc>
            </w:tr>
          </w:tbl>
          <w:p>
            <w:pPr>
              <w:jc w:val="left"/>
            </w:pPr>
            <w:r>
              <w:rPr>
                <w:vertAlign w:val="subscript"/>
              </w:rPr>
              <w:t xml:space="preserve">Source:</w:t>
            </w:r>
            <w:r>
              <w:rPr>
                <w:vertAlign w:val="subscript"/>
              </w:rPr>
              <w:t xml:space="preserve"> </w:t>
            </w:r>
            <w:hyperlink r:id="rId8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90" w:name="fig-missingness_1week_byid"/>
                <w:p>
                  <w:pPr>
                    <w:pStyle w:val="Compact"/>
                    <w:jc w:val="center"/>
                    <w:jc w:val="left"/>
                  </w:pPr>
                  <w:r>
                    <w:drawing>
                      <wp:inline>
                        <wp:extent cx="5334000" cy="3810000"/>
                        <wp:effectExtent b="0" l="0" r="0" t="0"/>
                        <wp:docPr descr="" title="" id="88" name="Picture"/>
                        <a:graphic>
                          <a:graphicData uri="http://schemas.openxmlformats.org/drawingml/2006/picture">
                            <pic:pic>
                              <pic:nvPicPr>
                                <pic:cNvPr descr="index_files/figure-docx/notebooks-eda_messages-fig-missingness_1week_byid-output-2.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10: Distribution of Missingness by Subject in the 1-Week Prediction Window</w:t>
                  </w:r>
                </w:p>
                <w:bookmarkEnd w:id="90"/>
              </w:tc>
            </w:tr>
          </w:tbl>
          <w:p>
            <w:pPr>
              <w:jc w:val="left"/>
            </w:pPr>
            <w:r>
              <w:rPr>
                <w:vertAlign w:val="subscript"/>
              </w:rPr>
              <w:t xml:space="preserve">Source:</w:t>
            </w:r>
            <w:r>
              <w:rPr>
                <w:vertAlign w:val="subscript"/>
              </w:rPr>
              <w:t xml:space="preserve"> </w:t>
            </w:r>
            <w:hyperlink r:id="rId91">
              <w:r>
                <w:rPr>
                  <w:rStyle w:val="Hyperlink"/>
                  <w:vertAlign w:val="subscript"/>
                </w:rPr>
                <w:t xml:space="preserve">EDA on Raw Messages</w:t>
              </w:r>
            </w:hyperlink>
          </w:p>
        </w:tc>
      </w:tr>
    </w:tbl>
    <w:bookmarkEnd w:id="92"/>
    <w:bookmarkStart w:id="93" w:name="liwc-features"/>
    <w:p>
      <w:pPr>
        <w:pStyle w:val="Heading2"/>
      </w:pPr>
      <w:r>
        <w:t xml:space="preserve">LIWC Features</w:t>
      </w:r>
    </w:p>
    <w:p>
      <w:pPr>
        <w:pStyle w:val="FirstParagraph"/>
      </w:pPr>
      <w:r>
        <w:t xml:space="preserve">We obtained LIWC scores from XXX linguistic categories.</w:t>
      </w:r>
    </w:p>
    <w:bookmarkEnd w:id="93"/>
    <w:bookmarkStart w:id="94" w:name="model-evaluation"/>
    <w:p>
      <w:pPr>
        <w:pStyle w:val="Heading2"/>
      </w:pPr>
      <w:r>
        <w:t xml:space="preserve">Model Evaluation</w:t>
      </w:r>
    </w:p>
    <w:bookmarkEnd w:id="94"/>
    <w:bookmarkStart w:id="95" w:name="model-fairness"/>
    <w:p>
      <w:pPr>
        <w:pStyle w:val="Heading2"/>
      </w:pPr>
      <w:r>
        <w:t xml:space="preserve">Model Fairness</w:t>
      </w:r>
    </w:p>
    <w:p>
      <w:pPr>
        <w:pStyle w:val="FirstParagraph"/>
      </w:pPr>
      <w:r>
        <w:rPr>
          <w:vertAlign w:val="subscript"/>
        </w:rPr>
        <w:t xml:space="preserve">Source:</w:t>
      </w:r>
      <w:r>
        <w:rPr>
          <w:vertAlign w:val="subscript"/>
        </w:rPr>
        <w:t xml:space="preserve"> </w:t>
      </w:r>
      <w:hyperlink r:id="rId33">
        <w:r>
          <w:rPr>
            <w:rStyle w:val="Hyperlink"/>
            <w:vertAlign w:val="subscript"/>
          </w:rPr>
          <w:t xml:space="preserve">Article Notebook</w:t>
        </w:r>
      </w:hyperlink>
    </w:p>
    <w:p>
      <w:r>
        <w:br w:type="page"/>
      </w:r>
    </w:p>
    <w:bookmarkEnd w:id="95"/>
    <w:bookmarkEnd w:id="96"/>
    <w:bookmarkStart w:id="97" w:name="discussions"/>
    <w:p>
      <w:pPr>
        <w:pStyle w:val="Heading1"/>
      </w:pPr>
      <w:r>
        <w:t xml:space="preserve">Discussions</w:t>
      </w:r>
    </w:p>
    <w:p>
      <w:r>
        <w:br w:type="page"/>
      </w:r>
    </w:p>
    <w:bookmarkEnd w:id="97"/>
    <w:bookmarkStart w:id="219" w:name="references"/>
    <w:p>
      <w:pPr>
        <w:pStyle w:val="Heading1"/>
      </w:pPr>
      <w:r>
        <w:t xml:space="preserve">References</w:t>
      </w:r>
    </w:p>
    <w:bookmarkStart w:id="218" w:name="refs"/>
    <w:bookmarkStart w:id="99"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98">
        <w:r>
          <w:rPr>
            <w:rStyle w:val="Hyperlink"/>
          </w:rPr>
          <w:t xml:space="preserve">https://doi.org/10.1007/s13311-019-00814-4</w:t>
        </w:r>
      </w:hyperlink>
      <w:r>
        <w:t xml:space="preserve">.</w:t>
      </w:r>
    </w:p>
    <w:bookmarkEnd w:id="99"/>
    <w:bookmarkStart w:id="101"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00">
        <w:r>
          <w:rPr>
            <w:rStyle w:val="Hyperlink"/>
          </w:rPr>
          <w:t xml:space="preserve">https://doi.org/10.1093/jamia/ocy166</w:t>
        </w:r>
      </w:hyperlink>
      <w:r>
        <w:t xml:space="preserve">.</w:t>
      </w:r>
    </w:p>
    <w:bookmarkEnd w:id="101"/>
    <w:bookmarkStart w:id="103"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02">
        <w:r>
          <w:rPr>
            <w:rStyle w:val="Hyperlink"/>
          </w:rPr>
          <w:t xml:space="preserve">https://doi.org/10.1109/iCCECOME.2018.8658578</w:t>
        </w:r>
      </w:hyperlink>
      <w:r>
        <w:t xml:space="preserve">.</w:t>
      </w:r>
    </w:p>
    <w:bookmarkEnd w:id="103"/>
    <w:bookmarkStart w:id="105"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04">
        <w:r>
          <w:rPr>
            <w:rStyle w:val="Hyperlink"/>
          </w:rPr>
          <w:t xml:space="preserve">https://doi.org/10.1016/j.addbeh.2018.11.008</w:t>
        </w:r>
      </w:hyperlink>
      <w:r>
        <w:t xml:space="preserve">.</w:t>
      </w:r>
    </w:p>
    <w:bookmarkEnd w:id="105"/>
    <w:bookmarkStart w:id="107"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06">
        <w:r>
          <w:rPr>
            <w:rStyle w:val="Hyperlink"/>
          </w:rPr>
          <w:t xml:space="preserve">https://doi.org/10.1016/j.addbeh.2017.11.039</w:t>
        </w:r>
      </w:hyperlink>
      <w:r>
        <w:t xml:space="preserve">.</w:t>
      </w:r>
    </w:p>
    <w:bookmarkEnd w:id="107"/>
    <w:bookmarkStart w:id="109"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08">
        <w:r>
          <w:rPr>
            <w:rStyle w:val="Hyperlink"/>
          </w:rPr>
          <w:t xml:space="preserve">https://doi.org/10.2196/31877</w:t>
        </w:r>
      </w:hyperlink>
      <w:r>
        <w:t xml:space="preserve">.</w:t>
      </w:r>
    </w:p>
    <w:bookmarkEnd w:id="109"/>
    <w:bookmarkStart w:id="111"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10">
        <w:r>
          <w:rPr>
            <w:rStyle w:val="Hyperlink"/>
          </w:rPr>
          <w:t xml:space="preserve">https://doi.org/10.1016/0306-4603(89)90060-9</w:t>
        </w:r>
      </w:hyperlink>
      <w:r>
        <w:t xml:space="preserve">.</w:t>
      </w:r>
    </w:p>
    <w:bookmarkEnd w:id="111"/>
    <w:bookmarkStart w:id="113"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12">
        <w:r>
          <w:rPr>
            <w:rStyle w:val="Hyperlink"/>
          </w:rPr>
          <w:t xml:space="preserve">https://doi.org/10.3389/fpsyt.2019.00344</w:t>
        </w:r>
      </w:hyperlink>
      <w:r>
        <w:t xml:space="preserve">.</w:t>
      </w:r>
    </w:p>
    <w:bookmarkEnd w:id="113"/>
    <w:bookmarkStart w:id="115"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14">
        <w:r>
          <w:rPr>
            <w:rStyle w:val="Hyperlink"/>
          </w:rPr>
          <w:t xml:space="preserve">https://doi.org/10.1007/s40429-018-0192-0</w:t>
        </w:r>
      </w:hyperlink>
      <w:r>
        <w:t xml:space="preserve">.</w:t>
      </w:r>
    </w:p>
    <w:bookmarkEnd w:id="115"/>
    <w:bookmarkStart w:id="117"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16">
        <w:r>
          <w:rPr>
            <w:rStyle w:val="Hyperlink"/>
          </w:rPr>
          <w:t xml:space="preserve">https://doi.org/10.1016/j.jsat.2013.08.004</w:t>
        </w:r>
      </w:hyperlink>
      <w:r>
        <w:t xml:space="preserve">.</w:t>
      </w:r>
    </w:p>
    <w:bookmarkEnd w:id="117"/>
    <w:bookmarkStart w:id="119"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18">
        <w:r>
          <w:rPr>
            <w:rStyle w:val="Hyperlink"/>
          </w:rPr>
          <w:t xml:space="preserve">https://doi.org/10.1016/j.cpr.2005.11.004</w:t>
        </w:r>
      </w:hyperlink>
      <w:r>
        <w:t xml:space="preserve">.</w:t>
      </w:r>
    </w:p>
    <w:bookmarkEnd w:id="119"/>
    <w:bookmarkStart w:id="121"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20">
        <w:r>
          <w:rPr>
            <w:rStyle w:val="Hyperlink"/>
          </w:rPr>
          <w:t xml:space="preserve">https://doi.org/10.1016/j.psychres.2018.06.031</w:t>
        </w:r>
      </w:hyperlink>
      <w:r>
        <w:t xml:space="preserve">.</w:t>
      </w:r>
    </w:p>
    <w:bookmarkEnd w:id="121"/>
    <w:bookmarkStart w:id="123"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22">
        <w:r>
          <w:rPr>
            <w:rStyle w:val="Hyperlink"/>
          </w:rPr>
          <w:t xml:space="preserve">https://doi.org/10.1080/01612840.2016.1257076</w:t>
        </w:r>
      </w:hyperlink>
      <w:r>
        <w:t xml:space="preserve">.</w:t>
      </w:r>
    </w:p>
    <w:bookmarkEnd w:id="123"/>
    <w:bookmarkStart w:id="125"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24">
        <w:r>
          <w:rPr>
            <w:rStyle w:val="Hyperlink"/>
          </w:rPr>
          <w:t xml:space="preserve">https://doi.org/10.1016/j.comppsych.2015.05.010</w:t>
        </w:r>
      </w:hyperlink>
      <w:r>
        <w:t xml:space="preserve">.</w:t>
      </w:r>
    </w:p>
    <w:bookmarkEnd w:id="125"/>
    <w:bookmarkStart w:id="127"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26">
        <w:r>
          <w:rPr>
            <w:rStyle w:val="Hyperlink"/>
          </w:rPr>
          <w:t xml:space="preserve">https://doi.org/10.1186/s13690-023-01085-4</w:t>
        </w:r>
      </w:hyperlink>
      <w:r>
        <w:t xml:space="preserve">.</w:t>
      </w:r>
    </w:p>
    <w:bookmarkEnd w:id="127"/>
    <w:bookmarkStart w:id="129"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28">
        <w:r>
          <w:rPr>
            <w:rStyle w:val="Hyperlink"/>
          </w:rPr>
          <w:t xml:space="preserve">https://doi.org/10.1111/acer.13965</w:t>
        </w:r>
      </w:hyperlink>
      <w:r>
        <w:t xml:space="preserve">.</w:t>
      </w:r>
    </w:p>
    <w:bookmarkEnd w:id="129"/>
    <w:bookmarkStart w:id="131"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30">
        <w:r>
          <w:rPr>
            <w:rStyle w:val="Hyperlink"/>
          </w:rPr>
          <w:t xml:space="preserve">https://doi.org/10.1097/ADM.0000000000000918</w:t>
        </w:r>
      </w:hyperlink>
      <w:r>
        <w:t xml:space="preserve">.</w:t>
      </w:r>
    </w:p>
    <w:bookmarkEnd w:id="131"/>
    <w:bookmarkStart w:id="133"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32">
        <w:r>
          <w:rPr>
            <w:rStyle w:val="Hyperlink"/>
          </w:rPr>
          <w:t xml:space="preserve">https://doi.org/10.1001/jamapsychiatry.2013.4642</w:t>
        </w:r>
      </w:hyperlink>
      <w:r>
        <w:t xml:space="preserve">.</w:t>
      </w:r>
    </w:p>
    <w:bookmarkEnd w:id="133"/>
    <w:bookmarkStart w:id="135"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34">
        <w:r>
          <w:rPr>
            <w:rStyle w:val="Hyperlink"/>
          </w:rPr>
          <w:t xml:space="preserve">https://doi.org/10.1016/s0741-8329(98)00065-2</w:t>
        </w:r>
      </w:hyperlink>
      <w:r>
        <w:t xml:space="preserve">.</w:t>
      </w:r>
    </w:p>
    <w:bookmarkEnd w:id="135"/>
    <w:bookmarkStart w:id="137"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36">
        <w:r>
          <w:rPr>
            <w:rStyle w:val="Hyperlink"/>
          </w:rPr>
          <w:t xml:space="preserve">https://doi.org/10.1016/j.ajp.2016.08.003</w:t>
        </w:r>
      </w:hyperlink>
      <w:r>
        <w:t xml:space="preserve">.</w:t>
      </w:r>
    </w:p>
    <w:bookmarkEnd w:id="137"/>
    <w:bookmarkStart w:id="139"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38">
        <w:r>
          <w:rPr>
            <w:rStyle w:val="Hyperlink"/>
          </w:rPr>
          <w:t xml:space="preserve">https://doi.org/10.1111/j.1475-6773.2006.00612.x</w:t>
        </w:r>
      </w:hyperlink>
      <w:r>
        <w:t xml:space="preserve">.</w:t>
      </w:r>
    </w:p>
    <w:bookmarkEnd w:id="139"/>
    <w:bookmarkStart w:id="141"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40">
        <w:r>
          <w:rPr>
            <w:rStyle w:val="Hyperlink"/>
          </w:rPr>
          <w:t xml:space="preserve">https://doi.org/10.1016/B978-0-323-90045-4.00005-8</w:t>
        </w:r>
      </w:hyperlink>
      <w:r>
        <w:t xml:space="preserve">.</w:t>
      </w:r>
    </w:p>
    <w:bookmarkEnd w:id="141"/>
    <w:bookmarkStart w:id="143"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42">
        <w:r>
          <w:rPr>
            <w:rStyle w:val="Hyperlink"/>
          </w:rPr>
          <w:t xml:space="preserve">https://doi.org/10.1046/j.1360-0443.91.12s1.4.x</w:t>
        </w:r>
      </w:hyperlink>
      <w:r>
        <w:t xml:space="preserve">.</w:t>
      </w:r>
    </w:p>
    <w:bookmarkEnd w:id="143"/>
    <w:bookmarkStart w:id="145"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44">
        <w:r>
          <w:rPr>
            <w:rStyle w:val="Hyperlink"/>
          </w:rPr>
          <w:t xml:space="preserve">https://doi.org/10.1007/s00127-013-0740-9</w:t>
        </w:r>
      </w:hyperlink>
      <w:r>
        <w:t xml:space="preserve">.</w:t>
      </w:r>
    </w:p>
    <w:bookmarkEnd w:id="145"/>
    <w:bookmarkStart w:id="146"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46"/>
    <w:bookmarkStart w:id="148"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47">
        <w:r>
          <w:rPr>
            <w:rStyle w:val="Hyperlink"/>
          </w:rPr>
          <w:t xml:space="preserve">https://doi.org/10.2196/17458</w:t>
        </w:r>
      </w:hyperlink>
      <w:r>
        <w:t xml:space="preserve">.</w:t>
      </w:r>
    </w:p>
    <w:bookmarkEnd w:id="148"/>
    <w:bookmarkStart w:id="150"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49">
        <w:r>
          <w:rPr>
            <w:rStyle w:val="Hyperlink"/>
          </w:rPr>
          <w:t xml:space="preserve">https://doi.org/10.1109/JAS.2023.123015</w:t>
        </w:r>
      </w:hyperlink>
      <w:r>
        <w:t xml:space="preserve">.</w:t>
      </w:r>
    </w:p>
    <w:bookmarkEnd w:id="150"/>
    <w:bookmarkStart w:id="152"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51">
        <w:r>
          <w:rPr>
            <w:rStyle w:val="Hyperlink"/>
          </w:rPr>
          <w:t xml:space="preserve">https://doi.org/10.1046/j.1360-0443.91.12s1.16.x</w:t>
        </w:r>
      </w:hyperlink>
      <w:r>
        <w:t xml:space="preserve">.</w:t>
      </w:r>
    </w:p>
    <w:bookmarkEnd w:id="152"/>
    <w:bookmarkStart w:id="153"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53"/>
    <w:bookmarkStart w:id="155"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54">
        <w:r>
          <w:rPr>
            <w:rStyle w:val="Hyperlink"/>
          </w:rPr>
          <w:t xml:space="preserve">https://doi.org/10.1016/j.drugalcdep.2018.03.016</w:t>
        </w:r>
      </w:hyperlink>
      <w:r>
        <w:t xml:space="preserve">.</w:t>
      </w:r>
    </w:p>
    <w:bookmarkEnd w:id="155"/>
    <w:bookmarkStart w:id="157"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56">
        <w:r>
          <w:rPr>
            <w:rStyle w:val="Hyperlink"/>
          </w:rPr>
          <w:t xml:space="preserve">https://doi.org/10.1046/j.1360-0443.91.12s1.15.x</w:t>
        </w:r>
      </w:hyperlink>
      <w:r>
        <w:t xml:space="preserve">.</w:t>
      </w:r>
    </w:p>
    <w:bookmarkEnd w:id="157"/>
    <w:bookmarkStart w:id="158"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58"/>
    <w:bookmarkStart w:id="160"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59">
        <w:r>
          <w:rPr>
            <w:rStyle w:val="Hyperlink"/>
          </w:rPr>
          <w:t xml:space="preserve">https://doi.org/10.4303/jdar/236083</w:t>
        </w:r>
      </w:hyperlink>
      <w:r>
        <w:t xml:space="preserve">.</w:t>
      </w:r>
    </w:p>
    <w:bookmarkEnd w:id="160"/>
    <w:bookmarkStart w:id="162"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61">
        <w:r>
          <w:rPr>
            <w:rStyle w:val="Hyperlink"/>
          </w:rPr>
          <w:t xml:space="preserve">https://doi.org/10.15288/jsa.1999.60.566</w:t>
        </w:r>
      </w:hyperlink>
      <w:r>
        <w:t xml:space="preserve">.</w:t>
      </w:r>
    </w:p>
    <w:bookmarkEnd w:id="162"/>
    <w:bookmarkStart w:id="164"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63">
        <w:r>
          <w:rPr>
            <w:rStyle w:val="Hyperlink"/>
          </w:rPr>
          <w:t xml:space="preserve">https://doi.org/10.1016/j.cpr.2005.11.002</w:t>
        </w:r>
      </w:hyperlink>
      <w:r>
        <w:t xml:space="preserve">.</w:t>
      </w:r>
    </w:p>
    <w:bookmarkEnd w:id="164"/>
    <w:bookmarkStart w:id="166"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65">
        <w:r>
          <w:rPr>
            <w:rStyle w:val="Hyperlink"/>
          </w:rPr>
          <w:t xml:space="preserve">https://doi.org/10.1111/add.15771</w:t>
        </w:r>
      </w:hyperlink>
      <w:r>
        <w:t xml:space="preserve">.</w:t>
      </w:r>
    </w:p>
    <w:bookmarkEnd w:id="166"/>
    <w:bookmarkStart w:id="168"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67">
        <w:r>
          <w:rPr>
            <w:rStyle w:val="Hyperlink"/>
          </w:rPr>
          <w:t xml:space="preserve">https://doi.org/10.1046/j.1360-0443.91.12s1.6.x</w:t>
        </w:r>
      </w:hyperlink>
      <w:r>
        <w:t xml:space="preserve">.</w:t>
      </w:r>
    </w:p>
    <w:bookmarkEnd w:id="168"/>
    <w:bookmarkStart w:id="170"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69">
        <w:r>
          <w:rPr>
            <w:rStyle w:val="Hyperlink"/>
          </w:rPr>
          <w:t xml:space="preserve">https://doi.org/10.1186/s13722-023-00387-w</w:t>
        </w:r>
      </w:hyperlink>
      <w:r>
        <w:t xml:space="preserve">.</w:t>
      </w:r>
    </w:p>
    <w:bookmarkEnd w:id="170"/>
    <w:bookmarkStart w:id="171"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71"/>
    <w:bookmarkStart w:id="172"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72"/>
    <w:bookmarkStart w:id="173"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73"/>
    <w:bookmarkStart w:id="175"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74">
        <w:r>
          <w:rPr>
            <w:rStyle w:val="Hyperlink"/>
          </w:rPr>
          <w:t xml:space="preserve">https://doi.org/10.1093/tbm/ibab048</w:t>
        </w:r>
      </w:hyperlink>
      <w:r>
        <w:t xml:space="preserve">.</w:t>
      </w:r>
    </w:p>
    <w:bookmarkEnd w:id="175"/>
    <w:bookmarkStart w:id="177"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76">
        <w:r>
          <w:rPr>
            <w:rStyle w:val="Hyperlink"/>
          </w:rPr>
          <w:t xml:space="preserve">https://doi.org/10.2196/35159</w:t>
        </w:r>
      </w:hyperlink>
      <w:r>
        <w:t xml:space="preserve">.</w:t>
      </w:r>
    </w:p>
    <w:bookmarkEnd w:id="177"/>
    <w:bookmarkStart w:id="179"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78">
        <w:r>
          <w:rPr>
            <w:rStyle w:val="Hyperlink"/>
          </w:rPr>
          <w:t xml:space="preserve">https://doi.org/10.1016/j.jad.2020.05.067</w:t>
        </w:r>
      </w:hyperlink>
      <w:r>
        <w:t xml:space="preserve">.</w:t>
      </w:r>
    </w:p>
    <w:bookmarkEnd w:id="179"/>
    <w:bookmarkStart w:id="181"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80">
        <w:r>
          <w:rPr>
            <w:rStyle w:val="Hyperlink"/>
          </w:rPr>
          <w:t xml:space="preserve">https://doi.org/10.1186/s13011-015-0028-z</w:t>
        </w:r>
      </w:hyperlink>
      <w:r>
        <w:t xml:space="preserve">.</w:t>
      </w:r>
    </w:p>
    <w:bookmarkEnd w:id="181"/>
    <w:bookmarkStart w:id="183"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82">
        <w:r>
          <w:rPr>
            <w:rStyle w:val="Hyperlink"/>
          </w:rPr>
          <w:t xml:space="preserve">https://doi.org/10.1016/j.amepre.2015.05.031</w:t>
        </w:r>
      </w:hyperlink>
      <w:r>
        <w:t xml:space="preserve">.</w:t>
      </w:r>
    </w:p>
    <w:bookmarkEnd w:id="183"/>
    <w:bookmarkStart w:id="185"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84">
        <w:r>
          <w:rPr>
            <w:rStyle w:val="Hyperlink"/>
          </w:rPr>
          <w:t xml:space="preserve">https://doi.org/10.1176/appi.ps.201400160</w:t>
        </w:r>
      </w:hyperlink>
      <w:r>
        <w:t xml:space="preserve">.</w:t>
      </w:r>
    </w:p>
    <w:bookmarkEnd w:id="185"/>
    <w:bookmarkStart w:id="187"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86">
        <w:r>
          <w:rPr>
            <w:rStyle w:val="Hyperlink"/>
          </w:rPr>
          <w:t xml:space="preserve">https://doi.org/10.1016/j.jsat.2004.09.006</w:t>
        </w:r>
      </w:hyperlink>
      <w:r>
        <w:t xml:space="preserve">.</w:t>
      </w:r>
    </w:p>
    <w:bookmarkEnd w:id="187"/>
    <w:bookmarkStart w:id="189"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88">
        <w:r>
          <w:rPr>
            <w:rStyle w:val="Hyperlink"/>
          </w:rPr>
          <w:t xml:space="preserve">https://doi.org/10.1097/CLD.0000000000000026</w:t>
        </w:r>
      </w:hyperlink>
      <w:r>
        <w:t xml:space="preserve">.</w:t>
      </w:r>
    </w:p>
    <w:bookmarkEnd w:id="189"/>
    <w:bookmarkStart w:id="191"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90">
        <w:r>
          <w:rPr>
            <w:rStyle w:val="Hyperlink"/>
          </w:rPr>
          <w:t xml:space="preserve">https://doi.org/10.1046/j.1360-0443.91.12s1.20.x</w:t>
        </w:r>
      </w:hyperlink>
      <w:r>
        <w:t xml:space="preserve">.</w:t>
      </w:r>
    </w:p>
    <w:bookmarkEnd w:id="191"/>
    <w:bookmarkStart w:id="193"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92">
        <w:r>
          <w:rPr>
            <w:rStyle w:val="Hyperlink"/>
          </w:rPr>
          <w:t xml:space="preserve">https://doi.org/10.1177/0261927X09351676</w:t>
        </w:r>
      </w:hyperlink>
      <w:r>
        <w:t xml:space="preserve">.</w:t>
      </w:r>
    </w:p>
    <w:bookmarkEnd w:id="193"/>
    <w:bookmarkStart w:id="195"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94">
        <w:r>
          <w:rPr>
            <w:rStyle w:val="Hyperlink"/>
          </w:rPr>
          <w:t xml:space="preserve">https://doi.org/10.1016/j.alcohol.2019.09.008</w:t>
        </w:r>
      </w:hyperlink>
      <w:r>
        <w:t xml:space="preserve">.</w:t>
      </w:r>
    </w:p>
    <w:bookmarkEnd w:id="195"/>
    <w:bookmarkStart w:id="197"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96">
        <w:r>
          <w:rPr>
            <w:rStyle w:val="Hyperlink"/>
          </w:rPr>
          <w:t xml:space="preserve">https://doi.org/10.3233/SHTI190386</w:t>
        </w:r>
      </w:hyperlink>
      <w:r>
        <w:t xml:space="preserve">.</w:t>
      </w:r>
    </w:p>
    <w:bookmarkEnd w:id="197"/>
    <w:bookmarkStart w:id="199"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98">
        <w:r>
          <w:rPr>
            <w:rStyle w:val="Hyperlink"/>
          </w:rPr>
          <w:t xml:space="preserve">https://doi.org/10.3390/jcm9020322</w:t>
        </w:r>
      </w:hyperlink>
      <w:r>
        <w:t xml:space="preserve">.</w:t>
      </w:r>
    </w:p>
    <w:bookmarkEnd w:id="199"/>
    <w:bookmarkStart w:id="201"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00">
        <w:r>
          <w:rPr>
            <w:rStyle w:val="Hyperlink"/>
          </w:rPr>
          <w:t xml:space="preserve">https://doi.org/10.1016/j.jsat.2016.12.013</w:t>
        </w:r>
      </w:hyperlink>
      <w:r>
        <w:t xml:space="preserve">.</w:t>
      </w:r>
    </w:p>
    <w:bookmarkEnd w:id="201"/>
    <w:bookmarkStart w:id="203"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02">
        <w:r>
          <w:rPr>
            <w:rStyle w:val="Hyperlink"/>
          </w:rPr>
          <w:t xml:space="preserve">https://doi.org/10.1111/acer.15222</w:t>
        </w:r>
      </w:hyperlink>
      <w:r>
        <w:t xml:space="preserve">.</w:t>
      </w:r>
    </w:p>
    <w:bookmarkEnd w:id="203"/>
    <w:bookmarkStart w:id="205"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04">
        <w:r>
          <w:rPr>
            <w:rStyle w:val="Hyperlink"/>
          </w:rPr>
          <w:t xml:space="preserve">https://doi.org/10.3109/10826084.2014.891616</w:t>
        </w:r>
      </w:hyperlink>
      <w:r>
        <w:t xml:space="preserve">.</w:t>
      </w:r>
    </w:p>
    <w:bookmarkEnd w:id="205"/>
    <w:bookmarkStart w:id="207"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06">
        <w:r>
          <w:rPr>
            <w:rStyle w:val="Hyperlink"/>
          </w:rPr>
          <w:t xml:space="preserve">https://doi.org/10.1007/s11606-017-4202-z</w:t>
        </w:r>
      </w:hyperlink>
      <w:r>
        <w:t xml:space="preserve">.</w:t>
      </w:r>
    </w:p>
    <w:bookmarkEnd w:id="207"/>
    <w:bookmarkStart w:id="209"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08">
        <w:r>
          <w:rPr>
            <w:rStyle w:val="Hyperlink"/>
          </w:rPr>
          <w:t xml:space="preserve">https://doi.org/10.1037/0003-066X.59.4.224</w:t>
        </w:r>
      </w:hyperlink>
      <w:r>
        <w:t xml:space="preserve">.</w:t>
      </w:r>
    </w:p>
    <w:bookmarkEnd w:id="209"/>
    <w:bookmarkStart w:id="211"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10">
        <w:r>
          <w:rPr>
            <w:rStyle w:val="Hyperlink"/>
          </w:rPr>
          <w:t xml:space="preserve">https://doi.org/10.1016/j.cpr.2007.01.002</w:t>
        </w:r>
      </w:hyperlink>
      <w:r>
        <w:t xml:space="preserve">.</w:t>
      </w:r>
    </w:p>
    <w:bookmarkEnd w:id="211"/>
    <w:bookmarkStart w:id="213"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212">
        <w:r>
          <w:rPr>
            <w:rStyle w:val="Hyperlink"/>
          </w:rPr>
          <w:t xml:space="preserve">https://doi.org/10.2196/41833</w:t>
        </w:r>
      </w:hyperlink>
      <w:r>
        <w:t xml:space="preserve">.</w:t>
      </w:r>
    </w:p>
    <w:bookmarkEnd w:id="213"/>
    <w:bookmarkStart w:id="215" w:name="ref-wyantMachineLearningModels2023b"/>
    <w:p>
      <w:pPr>
        <w:pStyle w:val="Bibliography"/>
      </w:pPr>
      <w:r>
        <w:t xml:space="preserve">Wyant, Kendra, Sarah June Kittleson Sant’Ana, Gaylen Fronk, and John J. Curtin. 2023.</w:t>
      </w:r>
      <w:r>
        <w:t xml:space="preserve"> </w:t>
      </w:r>
      <w:r>
        <w:t xml:space="preserve">“Machine Learning Models for Temporally Precise Lapse Prediction in Alcohol Use Disorder.”</w:t>
      </w:r>
      <w:r>
        <w:t xml:space="preserve"> </w:t>
      </w:r>
      <w:r>
        <w:t xml:space="preserve">OSF.</w:t>
      </w:r>
      <w:r>
        <w:t xml:space="preserve"> </w:t>
      </w:r>
      <w:hyperlink r:id="rId214">
        <w:r>
          <w:rPr>
            <w:rStyle w:val="Hyperlink"/>
          </w:rPr>
          <w:t xml:space="preserve">https://doi.org/10.31234/osf.io/cgsf7</w:t>
        </w:r>
      </w:hyperlink>
      <w:r>
        <w:t xml:space="preserve">.</w:t>
      </w:r>
    </w:p>
    <w:bookmarkEnd w:id="215"/>
    <w:bookmarkStart w:id="217"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16">
        <w:r>
          <w:rPr>
            <w:rStyle w:val="Hyperlink"/>
          </w:rPr>
          <w:t xml:space="preserve">https://doi.org/10.1111/jrh.12293</w:t>
        </w:r>
      </w:hyperlink>
      <w:r>
        <w:t xml:space="preserve">.</w:t>
      </w:r>
    </w:p>
    <w:bookmarkEnd w:id="217"/>
    <w:bookmarkEnd w:id="218"/>
    <w:bookmarkEnd w:id="2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87" Target="media/rId87.png" /><Relationship Type="http://schemas.openxmlformats.org/officeDocument/2006/relationships/image" Id="rId72" Target="media/rId72.png" /><Relationship Type="http://schemas.openxmlformats.org/officeDocument/2006/relationships/hyperlink" Id="rId132" Target="https://doi.org/10.1001/jamapsychiatry.2013.4642" TargetMode="External" /><Relationship Type="http://schemas.openxmlformats.org/officeDocument/2006/relationships/hyperlink" Id="rId144" Target="https://doi.org/10.1007/s00127-013-0740-9" TargetMode="External" /><Relationship Type="http://schemas.openxmlformats.org/officeDocument/2006/relationships/hyperlink" Id="rId206" Target="https://doi.org/10.1007/s11606-017-4202-z" TargetMode="External" /><Relationship Type="http://schemas.openxmlformats.org/officeDocument/2006/relationships/hyperlink" Id="rId98" Target="https://doi.org/10.1007/s13311-019-00814-4" TargetMode="External" /><Relationship Type="http://schemas.openxmlformats.org/officeDocument/2006/relationships/hyperlink" Id="rId114" Target="https://doi.org/10.1007/s40429-018-0192-0" TargetMode="External" /><Relationship Type="http://schemas.openxmlformats.org/officeDocument/2006/relationships/hyperlink" Id="rId110" Target="https://doi.org/10.1016/0306-4603(89)90060-9" TargetMode="External" /><Relationship Type="http://schemas.openxmlformats.org/officeDocument/2006/relationships/hyperlink" Id="rId140" Target="https://doi.org/10.1016/B978-0-323-90045-4.00005-8" TargetMode="External" /><Relationship Type="http://schemas.openxmlformats.org/officeDocument/2006/relationships/hyperlink" Id="rId106" Target="https://doi.org/10.1016/j.addbeh.2017.11.039" TargetMode="External" /><Relationship Type="http://schemas.openxmlformats.org/officeDocument/2006/relationships/hyperlink" Id="rId104" Target="https://doi.org/10.1016/j.addbeh.2018.11.008" TargetMode="External" /><Relationship Type="http://schemas.openxmlformats.org/officeDocument/2006/relationships/hyperlink" Id="rId136" Target="https://doi.org/10.1016/j.ajp.2016.08.003" TargetMode="External" /><Relationship Type="http://schemas.openxmlformats.org/officeDocument/2006/relationships/hyperlink" Id="rId194" Target="https://doi.org/10.1016/j.alcohol.2019.09.008" TargetMode="External" /><Relationship Type="http://schemas.openxmlformats.org/officeDocument/2006/relationships/hyperlink" Id="rId182" Target="https://doi.org/10.1016/j.amepre.2015.05.031" TargetMode="External" /><Relationship Type="http://schemas.openxmlformats.org/officeDocument/2006/relationships/hyperlink" Id="rId124" Target="https://doi.org/10.1016/j.comppsych.2015.05.010" TargetMode="External" /><Relationship Type="http://schemas.openxmlformats.org/officeDocument/2006/relationships/hyperlink" Id="rId163" Target="https://doi.org/10.1016/j.cpr.2005.11.002" TargetMode="External" /><Relationship Type="http://schemas.openxmlformats.org/officeDocument/2006/relationships/hyperlink" Id="rId118" Target="https://doi.org/10.1016/j.cpr.2005.11.004" TargetMode="External" /><Relationship Type="http://schemas.openxmlformats.org/officeDocument/2006/relationships/hyperlink" Id="rId210" Target="https://doi.org/10.1016/j.cpr.2007.01.002" TargetMode="External" /><Relationship Type="http://schemas.openxmlformats.org/officeDocument/2006/relationships/hyperlink" Id="rId154" Target="https://doi.org/10.1016/j.drugalcdep.2018.03.016" TargetMode="External" /><Relationship Type="http://schemas.openxmlformats.org/officeDocument/2006/relationships/hyperlink" Id="rId178" Target="https://doi.org/10.1016/j.jad.2020.05.067" TargetMode="External" /><Relationship Type="http://schemas.openxmlformats.org/officeDocument/2006/relationships/hyperlink" Id="rId186" Target="https://doi.org/10.1016/j.jsat.2004.09.006" TargetMode="External" /><Relationship Type="http://schemas.openxmlformats.org/officeDocument/2006/relationships/hyperlink" Id="rId116" Target="https://doi.org/10.1016/j.jsat.2013.08.004" TargetMode="External" /><Relationship Type="http://schemas.openxmlformats.org/officeDocument/2006/relationships/hyperlink" Id="rId200" Target="https://doi.org/10.1016/j.jsat.2016.12.013" TargetMode="External" /><Relationship Type="http://schemas.openxmlformats.org/officeDocument/2006/relationships/hyperlink" Id="rId120" Target="https://doi.org/10.1016/j.psychres.2018.06.031" TargetMode="External" /><Relationship Type="http://schemas.openxmlformats.org/officeDocument/2006/relationships/hyperlink" Id="rId134" Target="https://doi.org/10.1016/s0741-8329(98)00065-2" TargetMode="External" /><Relationship Type="http://schemas.openxmlformats.org/officeDocument/2006/relationships/hyperlink" Id="rId208" Target="https://doi.org/10.1037/0003-066X.59.4.224" TargetMode="External" /><Relationship Type="http://schemas.openxmlformats.org/officeDocument/2006/relationships/hyperlink" Id="rId156" Target="https://doi.org/10.1046/j.1360-0443.91.12s1.15.x" TargetMode="External" /><Relationship Type="http://schemas.openxmlformats.org/officeDocument/2006/relationships/hyperlink" Id="rId151" Target="https://doi.org/10.1046/j.1360-0443.91.12s1.16.x" TargetMode="External" /><Relationship Type="http://schemas.openxmlformats.org/officeDocument/2006/relationships/hyperlink" Id="rId190" Target="https://doi.org/10.1046/j.1360-0443.91.12s1.20.x" TargetMode="External" /><Relationship Type="http://schemas.openxmlformats.org/officeDocument/2006/relationships/hyperlink" Id="rId142" Target="https://doi.org/10.1046/j.1360-0443.91.12s1.4.x" TargetMode="External" /><Relationship Type="http://schemas.openxmlformats.org/officeDocument/2006/relationships/hyperlink" Id="rId167" Target="https://doi.org/10.1046/j.1360-0443.91.12s1.6.x" TargetMode="External" /><Relationship Type="http://schemas.openxmlformats.org/officeDocument/2006/relationships/hyperlink" Id="rId122" Target="https://doi.org/10.1080/01612840.2016.1257076" TargetMode="External" /><Relationship Type="http://schemas.openxmlformats.org/officeDocument/2006/relationships/hyperlink" Id="rId100" Target="https://doi.org/10.1093/jamia/ocy166" TargetMode="External" /><Relationship Type="http://schemas.openxmlformats.org/officeDocument/2006/relationships/hyperlink" Id="rId174" Target="https://doi.org/10.1093/tbm/ibab048" TargetMode="External" /><Relationship Type="http://schemas.openxmlformats.org/officeDocument/2006/relationships/hyperlink" Id="rId130" Target="https://doi.org/10.1097/ADM.0000000000000918" TargetMode="External" /><Relationship Type="http://schemas.openxmlformats.org/officeDocument/2006/relationships/hyperlink" Id="rId188" Target="https://doi.org/10.1097/CLD.0000000000000026" TargetMode="External" /><Relationship Type="http://schemas.openxmlformats.org/officeDocument/2006/relationships/hyperlink" Id="rId149" Target="https://doi.org/10.1109/JAS.2023.123015" TargetMode="External" /><Relationship Type="http://schemas.openxmlformats.org/officeDocument/2006/relationships/hyperlink" Id="rId102" Target="https://doi.org/10.1109/iCCECOME.2018.8658578" TargetMode="External" /><Relationship Type="http://schemas.openxmlformats.org/officeDocument/2006/relationships/hyperlink" Id="rId128" Target="https://doi.org/10.1111/acer.13965" TargetMode="External" /><Relationship Type="http://schemas.openxmlformats.org/officeDocument/2006/relationships/hyperlink" Id="rId202" Target="https://doi.org/10.1111/acer.15222" TargetMode="External" /><Relationship Type="http://schemas.openxmlformats.org/officeDocument/2006/relationships/hyperlink" Id="rId165" Target="https://doi.org/10.1111/add.15771" TargetMode="External" /><Relationship Type="http://schemas.openxmlformats.org/officeDocument/2006/relationships/hyperlink" Id="rId138" Target="https://doi.org/10.1111/j.1475-6773.2006.00612.x" TargetMode="External" /><Relationship Type="http://schemas.openxmlformats.org/officeDocument/2006/relationships/hyperlink" Id="rId216" Target="https://doi.org/10.1111/jrh.12293" TargetMode="External" /><Relationship Type="http://schemas.openxmlformats.org/officeDocument/2006/relationships/hyperlink" Id="rId184" Target="https://doi.org/10.1176/appi.ps.201400160" TargetMode="External" /><Relationship Type="http://schemas.openxmlformats.org/officeDocument/2006/relationships/hyperlink" Id="rId192" Target="https://doi.org/10.1177/0261927X09351676" TargetMode="External" /><Relationship Type="http://schemas.openxmlformats.org/officeDocument/2006/relationships/hyperlink" Id="rId180" Target="https://doi.org/10.1186/s13011-015-0028-z" TargetMode="External" /><Relationship Type="http://schemas.openxmlformats.org/officeDocument/2006/relationships/hyperlink" Id="rId126" Target="https://doi.org/10.1186/s13690-023-01085-4" TargetMode="External" /><Relationship Type="http://schemas.openxmlformats.org/officeDocument/2006/relationships/hyperlink" Id="rId169" Target="https://doi.org/10.1186/s13722-023-00387-w" TargetMode="External" /><Relationship Type="http://schemas.openxmlformats.org/officeDocument/2006/relationships/hyperlink" Id="rId161" Target="https://doi.org/10.15288/jsa.1999.60.566" TargetMode="External" /><Relationship Type="http://schemas.openxmlformats.org/officeDocument/2006/relationships/hyperlink" Id="rId147" Target="https://doi.org/10.2196/17458" TargetMode="External" /><Relationship Type="http://schemas.openxmlformats.org/officeDocument/2006/relationships/hyperlink" Id="rId108" Target="https://doi.org/10.2196/31877" TargetMode="External" /><Relationship Type="http://schemas.openxmlformats.org/officeDocument/2006/relationships/hyperlink" Id="rId176" Target="https://doi.org/10.2196/35159" TargetMode="External" /><Relationship Type="http://schemas.openxmlformats.org/officeDocument/2006/relationships/hyperlink" Id="rId212" Target="https://doi.org/10.2196/41833" TargetMode="External" /><Relationship Type="http://schemas.openxmlformats.org/officeDocument/2006/relationships/hyperlink" Id="rId204" Target="https://doi.org/10.3109/10826084.2014.891616" TargetMode="External" /><Relationship Type="http://schemas.openxmlformats.org/officeDocument/2006/relationships/hyperlink" Id="rId214" Target="https://doi.org/10.31234/osf.io/cgsf7" TargetMode="External" /><Relationship Type="http://schemas.openxmlformats.org/officeDocument/2006/relationships/hyperlink" Id="rId196" Target="https://doi.org/10.3233/SHTI190386" TargetMode="External" /><Relationship Type="http://schemas.openxmlformats.org/officeDocument/2006/relationships/hyperlink" Id="rId112" Target="https://doi.org/10.3389/fpsyt.2019.00344" TargetMode="External" /><Relationship Type="http://schemas.openxmlformats.org/officeDocument/2006/relationships/hyperlink" Id="rId198" Target="https://doi.org/10.3390/jcm9020322" TargetMode="External" /><Relationship Type="http://schemas.openxmlformats.org/officeDocument/2006/relationships/hyperlink" Id="rId159"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1" Target="https://jjcurtin.github.io/study_messages/notebooks/eda_messages-preview.html#cell-fig-message_count_1week" TargetMode="External" /><Relationship Type="http://schemas.openxmlformats.org/officeDocument/2006/relationships/hyperlink" Id="rId86"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1"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s>
</file>

<file path=word/_rels/footnotes.xml.rels><?xml version="1.0" encoding="UTF-8"?><Relationships xmlns="http://schemas.openxmlformats.org/package/2006/relationships"><Relationship Type="http://schemas.openxmlformats.org/officeDocument/2006/relationships/hyperlink" Id="rId132" Target="https://doi.org/10.1001/jamapsychiatry.2013.4642" TargetMode="External" /><Relationship Type="http://schemas.openxmlformats.org/officeDocument/2006/relationships/hyperlink" Id="rId144" Target="https://doi.org/10.1007/s00127-013-0740-9" TargetMode="External" /><Relationship Type="http://schemas.openxmlformats.org/officeDocument/2006/relationships/hyperlink" Id="rId206" Target="https://doi.org/10.1007/s11606-017-4202-z" TargetMode="External" /><Relationship Type="http://schemas.openxmlformats.org/officeDocument/2006/relationships/hyperlink" Id="rId98" Target="https://doi.org/10.1007/s13311-019-00814-4" TargetMode="External" /><Relationship Type="http://schemas.openxmlformats.org/officeDocument/2006/relationships/hyperlink" Id="rId114" Target="https://doi.org/10.1007/s40429-018-0192-0" TargetMode="External" /><Relationship Type="http://schemas.openxmlformats.org/officeDocument/2006/relationships/hyperlink" Id="rId110" Target="https://doi.org/10.1016/0306-4603(89)90060-9" TargetMode="External" /><Relationship Type="http://schemas.openxmlformats.org/officeDocument/2006/relationships/hyperlink" Id="rId140" Target="https://doi.org/10.1016/B978-0-323-90045-4.00005-8" TargetMode="External" /><Relationship Type="http://schemas.openxmlformats.org/officeDocument/2006/relationships/hyperlink" Id="rId106" Target="https://doi.org/10.1016/j.addbeh.2017.11.039" TargetMode="External" /><Relationship Type="http://schemas.openxmlformats.org/officeDocument/2006/relationships/hyperlink" Id="rId104" Target="https://doi.org/10.1016/j.addbeh.2018.11.008" TargetMode="External" /><Relationship Type="http://schemas.openxmlformats.org/officeDocument/2006/relationships/hyperlink" Id="rId136" Target="https://doi.org/10.1016/j.ajp.2016.08.003" TargetMode="External" /><Relationship Type="http://schemas.openxmlformats.org/officeDocument/2006/relationships/hyperlink" Id="rId194" Target="https://doi.org/10.1016/j.alcohol.2019.09.008" TargetMode="External" /><Relationship Type="http://schemas.openxmlformats.org/officeDocument/2006/relationships/hyperlink" Id="rId182" Target="https://doi.org/10.1016/j.amepre.2015.05.031" TargetMode="External" /><Relationship Type="http://schemas.openxmlformats.org/officeDocument/2006/relationships/hyperlink" Id="rId124" Target="https://doi.org/10.1016/j.comppsych.2015.05.010" TargetMode="External" /><Relationship Type="http://schemas.openxmlformats.org/officeDocument/2006/relationships/hyperlink" Id="rId163" Target="https://doi.org/10.1016/j.cpr.2005.11.002" TargetMode="External" /><Relationship Type="http://schemas.openxmlformats.org/officeDocument/2006/relationships/hyperlink" Id="rId118" Target="https://doi.org/10.1016/j.cpr.2005.11.004" TargetMode="External" /><Relationship Type="http://schemas.openxmlformats.org/officeDocument/2006/relationships/hyperlink" Id="rId210" Target="https://doi.org/10.1016/j.cpr.2007.01.002" TargetMode="External" /><Relationship Type="http://schemas.openxmlformats.org/officeDocument/2006/relationships/hyperlink" Id="rId154" Target="https://doi.org/10.1016/j.drugalcdep.2018.03.016" TargetMode="External" /><Relationship Type="http://schemas.openxmlformats.org/officeDocument/2006/relationships/hyperlink" Id="rId178" Target="https://doi.org/10.1016/j.jad.2020.05.067" TargetMode="External" /><Relationship Type="http://schemas.openxmlformats.org/officeDocument/2006/relationships/hyperlink" Id="rId186" Target="https://doi.org/10.1016/j.jsat.2004.09.006" TargetMode="External" /><Relationship Type="http://schemas.openxmlformats.org/officeDocument/2006/relationships/hyperlink" Id="rId116" Target="https://doi.org/10.1016/j.jsat.2013.08.004" TargetMode="External" /><Relationship Type="http://schemas.openxmlformats.org/officeDocument/2006/relationships/hyperlink" Id="rId200" Target="https://doi.org/10.1016/j.jsat.2016.12.013" TargetMode="External" /><Relationship Type="http://schemas.openxmlformats.org/officeDocument/2006/relationships/hyperlink" Id="rId120" Target="https://doi.org/10.1016/j.psychres.2018.06.031" TargetMode="External" /><Relationship Type="http://schemas.openxmlformats.org/officeDocument/2006/relationships/hyperlink" Id="rId134" Target="https://doi.org/10.1016/s0741-8329(98)00065-2" TargetMode="External" /><Relationship Type="http://schemas.openxmlformats.org/officeDocument/2006/relationships/hyperlink" Id="rId208" Target="https://doi.org/10.1037/0003-066X.59.4.224" TargetMode="External" /><Relationship Type="http://schemas.openxmlformats.org/officeDocument/2006/relationships/hyperlink" Id="rId156" Target="https://doi.org/10.1046/j.1360-0443.91.12s1.15.x" TargetMode="External" /><Relationship Type="http://schemas.openxmlformats.org/officeDocument/2006/relationships/hyperlink" Id="rId151" Target="https://doi.org/10.1046/j.1360-0443.91.12s1.16.x" TargetMode="External" /><Relationship Type="http://schemas.openxmlformats.org/officeDocument/2006/relationships/hyperlink" Id="rId190" Target="https://doi.org/10.1046/j.1360-0443.91.12s1.20.x" TargetMode="External" /><Relationship Type="http://schemas.openxmlformats.org/officeDocument/2006/relationships/hyperlink" Id="rId142" Target="https://doi.org/10.1046/j.1360-0443.91.12s1.4.x" TargetMode="External" /><Relationship Type="http://schemas.openxmlformats.org/officeDocument/2006/relationships/hyperlink" Id="rId167" Target="https://doi.org/10.1046/j.1360-0443.91.12s1.6.x" TargetMode="External" /><Relationship Type="http://schemas.openxmlformats.org/officeDocument/2006/relationships/hyperlink" Id="rId122" Target="https://doi.org/10.1080/01612840.2016.1257076" TargetMode="External" /><Relationship Type="http://schemas.openxmlformats.org/officeDocument/2006/relationships/hyperlink" Id="rId100" Target="https://doi.org/10.1093/jamia/ocy166" TargetMode="External" /><Relationship Type="http://schemas.openxmlformats.org/officeDocument/2006/relationships/hyperlink" Id="rId174" Target="https://doi.org/10.1093/tbm/ibab048" TargetMode="External" /><Relationship Type="http://schemas.openxmlformats.org/officeDocument/2006/relationships/hyperlink" Id="rId130" Target="https://doi.org/10.1097/ADM.0000000000000918" TargetMode="External" /><Relationship Type="http://schemas.openxmlformats.org/officeDocument/2006/relationships/hyperlink" Id="rId188" Target="https://doi.org/10.1097/CLD.0000000000000026" TargetMode="External" /><Relationship Type="http://schemas.openxmlformats.org/officeDocument/2006/relationships/hyperlink" Id="rId149" Target="https://doi.org/10.1109/JAS.2023.123015" TargetMode="External" /><Relationship Type="http://schemas.openxmlformats.org/officeDocument/2006/relationships/hyperlink" Id="rId102" Target="https://doi.org/10.1109/iCCECOME.2018.8658578" TargetMode="External" /><Relationship Type="http://schemas.openxmlformats.org/officeDocument/2006/relationships/hyperlink" Id="rId128" Target="https://doi.org/10.1111/acer.13965" TargetMode="External" /><Relationship Type="http://schemas.openxmlformats.org/officeDocument/2006/relationships/hyperlink" Id="rId202" Target="https://doi.org/10.1111/acer.15222" TargetMode="External" /><Relationship Type="http://schemas.openxmlformats.org/officeDocument/2006/relationships/hyperlink" Id="rId165" Target="https://doi.org/10.1111/add.15771" TargetMode="External" /><Relationship Type="http://schemas.openxmlformats.org/officeDocument/2006/relationships/hyperlink" Id="rId138" Target="https://doi.org/10.1111/j.1475-6773.2006.00612.x" TargetMode="External" /><Relationship Type="http://schemas.openxmlformats.org/officeDocument/2006/relationships/hyperlink" Id="rId216" Target="https://doi.org/10.1111/jrh.12293" TargetMode="External" /><Relationship Type="http://schemas.openxmlformats.org/officeDocument/2006/relationships/hyperlink" Id="rId184" Target="https://doi.org/10.1176/appi.ps.201400160" TargetMode="External" /><Relationship Type="http://schemas.openxmlformats.org/officeDocument/2006/relationships/hyperlink" Id="rId192" Target="https://doi.org/10.1177/0261927X09351676" TargetMode="External" /><Relationship Type="http://schemas.openxmlformats.org/officeDocument/2006/relationships/hyperlink" Id="rId180" Target="https://doi.org/10.1186/s13011-015-0028-z" TargetMode="External" /><Relationship Type="http://schemas.openxmlformats.org/officeDocument/2006/relationships/hyperlink" Id="rId126" Target="https://doi.org/10.1186/s13690-023-01085-4" TargetMode="External" /><Relationship Type="http://schemas.openxmlformats.org/officeDocument/2006/relationships/hyperlink" Id="rId169" Target="https://doi.org/10.1186/s13722-023-00387-w" TargetMode="External" /><Relationship Type="http://schemas.openxmlformats.org/officeDocument/2006/relationships/hyperlink" Id="rId161" Target="https://doi.org/10.15288/jsa.1999.60.566" TargetMode="External" /><Relationship Type="http://schemas.openxmlformats.org/officeDocument/2006/relationships/hyperlink" Id="rId147" Target="https://doi.org/10.2196/17458" TargetMode="External" /><Relationship Type="http://schemas.openxmlformats.org/officeDocument/2006/relationships/hyperlink" Id="rId108" Target="https://doi.org/10.2196/31877" TargetMode="External" /><Relationship Type="http://schemas.openxmlformats.org/officeDocument/2006/relationships/hyperlink" Id="rId176" Target="https://doi.org/10.2196/35159" TargetMode="External" /><Relationship Type="http://schemas.openxmlformats.org/officeDocument/2006/relationships/hyperlink" Id="rId212" Target="https://doi.org/10.2196/41833" TargetMode="External" /><Relationship Type="http://schemas.openxmlformats.org/officeDocument/2006/relationships/hyperlink" Id="rId204" Target="https://doi.org/10.3109/10826084.2014.891616" TargetMode="External" /><Relationship Type="http://schemas.openxmlformats.org/officeDocument/2006/relationships/hyperlink" Id="rId214" Target="https://doi.org/10.31234/osf.io/cgsf7" TargetMode="External" /><Relationship Type="http://schemas.openxmlformats.org/officeDocument/2006/relationships/hyperlink" Id="rId196" Target="https://doi.org/10.3233/SHTI190386" TargetMode="External" /><Relationship Type="http://schemas.openxmlformats.org/officeDocument/2006/relationships/hyperlink" Id="rId112" Target="https://doi.org/10.3389/fpsyt.2019.00344" TargetMode="External" /><Relationship Type="http://schemas.openxmlformats.org/officeDocument/2006/relationships/hyperlink" Id="rId198" Target="https://doi.org/10.3390/jcm9020322" TargetMode="External" /><Relationship Type="http://schemas.openxmlformats.org/officeDocument/2006/relationships/hyperlink" Id="rId159"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1" Target="https://jjcurtin.github.io/study_messages/notebooks/eda_messages-preview.html#cell-fig-message_count_1week" TargetMode="External" /><Relationship Type="http://schemas.openxmlformats.org/officeDocument/2006/relationships/hyperlink" Id="rId86"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1"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Feasibility and Equity of Geolocation Data for Lapse Prediction in AUD</dc:title>
  <dc:creator>Claire Punturieri; John J. Curtin</dc:creator>
  <cp:keywords/>
  <dcterms:created xsi:type="dcterms:W3CDTF">2024-10-16T21:26:38Z</dcterms:created>
  <dcterms:modified xsi:type="dcterms:W3CDTF">2024-10-16T21:26:38Z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paper_messages.bib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2024-10-16</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