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8.png" ContentType="image/png"/>
  <Override PartName="/word/media/rId64.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smartphone sensing and machine learning for personalized daily lapse risk prediction in a national sample of people with opioid use disorder</w:t>
      </w:r>
    </w:p>
    <w:p>
      <w:pPr>
        <w:pStyle w:val="Author"/>
      </w:pPr>
      <w:r>
        <w:t xml:space="preserve">Kendra Wyant</w:t>
      </w:r>
    </w:p>
    <w:p>
      <w:pPr>
        <w:pStyle w:val="Author"/>
      </w:pPr>
      <w:r>
        <w:t xml:space="preserve">John J. Curtin</w:t>
      </w:r>
    </w:p>
    <w:p>
      <w:pPr>
        <w:pStyle w:val="Date"/>
      </w:pPr>
      <w:r>
        <w:t xml:space="preserve">2026-03-16</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About 4.5 million adults in the United States met criteria for opioid use disorder (OUD) in 2024</w:t>
      </w:r>
      <w:r>
        <w:t xml:space="preserve"> </w:t>
      </w:r>
      <w:r>
        <w:t xml:space="preserve">(</w:t>
      </w:r>
      <w:r>
        <w:rPr>
          <w:b/>
          <w:bCs/>
        </w:rPr>
        <w:t xml:space="preserve">substanceabuseandmentalhealthservicesadministration2024NSDUHDetailed?</w:t>
      </w:r>
      <w:r>
        <w:t xml:space="preserve">)</w:t>
      </w:r>
      <w:r>
        <w:t xml:space="preserve">. OUD is associated with elevated mortality and morbidity, including increased risk of infectious disease, psychiatric comorbidity, and disability</w:t>
      </w:r>
      <w:r>
        <w:t xml:space="preserve"> </w:t>
      </w:r>
      <w:r>
        <w:t xml:space="preserve">(</w:t>
      </w:r>
      <w:r>
        <w:rPr>
          <w:b/>
          <w:bCs/>
        </w:rPr>
        <w:t xml:space="preserve">hserHighMortalityPatients2017?</w:t>
      </w:r>
      <w:r>
        <w:t xml:space="preserve">)</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w:t>
      </w:r>
      <w:r>
        <w:rPr>
          <w:b/>
          <w:bCs/>
        </w:rPr>
        <w:t xml:space="preserve">florenceEconomicBurdenOpioid2021?</w:t>
      </w:r>
      <w:r>
        <w:t xml:space="preserve">)</w:t>
      </w:r>
      <w:r>
        <w:t xml:space="preserve">.</w:t>
      </w:r>
    </w:p>
    <w:p>
      <w:pPr>
        <w:pStyle w:val="BodyText"/>
      </w:pPr>
      <w:r>
        <w:t xml:space="preserve">Medications for opioid use disorder (MOUD), including methadone and buprenorphine, are effective at reducing opioid use, craving, and overdose risk</w:t>
      </w:r>
      <w:r>
        <w:t xml:space="preserve"> </w:t>
      </w:r>
      <w:r>
        <w:t xml:space="preserve">(</w:t>
      </w:r>
      <w:r>
        <w:rPr>
          <w:b/>
          <w:bCs/>
        </w:rPr>
        <w:t xml:space="preserve">maEffectsMedicationassistedTreatment2019?</w:t>
      </w:r>
      <w:r>
        <w:t xml:space="preserve">)</w:t>
      </w:r>
      <w:r>
        <w:t xml:space="preserve">. Nevertheless, lapses remain common even among individuals receiving MOUD and can increase the risk of treatment dropout, relapse, and overdose</w:t>
      </w:r>
      <w:r>
        <w:t xml:space="preserve"> </w:t>
      </w:r>
      <w:r>
        <w:t xml:space="preserve">(</w:t>
      </w:r>
      <w:r>
        <w:rPr>
          <w:b/>
          <w:bCs/>
        </w:rPr>
        <w:t xml:space="preserve">weinsteinLongtermRetentionOffice2017?</w:t>
      </w:r>
      <w:r>
        <w:t xml:space="preserve">;</w:t>
      </w:r>
      <w:r>
        <w:t xml:space="preserve"> </w:t>
      </w:r>
      <w:r>
        <w:rPr>
          <w:b/>
          <w:bCs/>
        </w:rPr>
        <w:t xml:space="preserve">heinzLongitudinalObservationalStudy2025?</w:t>
      </w:r>
      <w:r>
        <w:t xml:space="preserve">)</w:t>
      </w:r>
      <w:r>
        <w:t xml:space="preserve">.</w:t>
      </w:r>
    </w:p>
    <w:p>
      <w:pPr>
        <w:pStyle w:val="BodyText"/>
      </w:pPr>
      <w:r>
        <w:t xml:space="preserve">Relapse prevention constructs from literature associated with opioid lapse - Map onto EMA and GPS sensing features</w:t>
      </w:r>
      <w:r>
        <w:t xml:space="preserve"> </w:t>
      </w:r>
      <w:r>
        <w:t xml:space="preserve">- environmental cues</w:t>
      </w:r>
      <w:r>
        <w:t xml:space="preserve"> </w:t>
      </w:r>
      <w:r>
        <w:t xml:space="preserve">- EMA acceptable for people in MOUD treatment</w:t>
      </w:r>
      <w:r>
        <w:t xml:space="preserve"> </w:t>
      </w:r>
      <w:r>
        <w:t xml:space="preserve">(</w:t>
      </w:r>
      <w:r>
        <w:rPr>
          <w:b/>
          <w:bCs/>
        </w:rPr>
        <w:t xml:space="preserve">alexanderUseEcologicalMomentary2023?</w:t>
      </w:r>
      <w:r>
        <w:t xml:space="preserve">)</w:t>
      </w:r>
    </w:p>
    <w:p>
      <w:pPr>
        <w:pStyle w:val="BodyText"/>
      </w:pPr>
      <w:r>
        <w:t xml:space="preserve">Prior related work</w:t>
      </w:r>
      <w:r>
        <w:t xml:space="preserve"> </w:t>
      </w:r>
      <w:r>
        <w:t xml:space="preserve">(</w:t>
      </w:r>
      <w:r>
        <w:rPr>
          <w:b/>
          <w:bCs/>
        </w:rPr>
        <w:t xml:space="preserve">heinzLongitudinalObservationalStudy2025?</w:t>
      </w:r>
      <w:r>
        <w:t xml:space="preserve">)</w:t>
      </w:r>
      <w:r>
        <w:t xml:space="preserve"> </w:t>
      </w:r>
      <w:r>
        <w:t xml:space="preserve">- N=62, 12 weeks, Northern CA treatment center, buprenorphine</w:t>
      </w:r>
    </w:p>
    <w:p>
      <w:pPr>
        <w:pStyle w:val="BodyText"/>
      </w:pPr>
      <w:r>
        <w:t xml:space="preserve">Aims of study</w:t>
      </w:r>
      <w:r>
        <w:t xml:space="preserve"> </w:t>
      </w:r>
      <w:r>
        <w:t xml:space="preserve">- Individuals in an MOUD program</w:t>
      </w:r>
    </w:p>
    <w:bookmarkEnd w:id="21"/>
    <w:bookmarkStart w:id="42" w:name="methods"/>
    <w:p>
      <w:pPr>
        <w:pStyle w:val="Heading1"/>
      </w:pPr>
      <w:r>
        <w:t xml:space="preserve">Methods</w:t>
      </w:r>
    </w:p>
    <w:bookmarkStart w:id="24"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22">
        <w:r>
          <w:rPr>
            <w:rStyle w:val="Hyperlink"/>
          </w:rPr>
          <w:t xml:space="preserve">https://osf.io/zvm7s/overview</w:t>
        </w:r>
      </w:hyperlink>
      <w:r>
        <w:t xml:space="preserve">) and our annotated analysis scripts and results are publicly available on our study website (</w:t>
      </w:r>
      <w:hyperlink r:id="rId23">
        <w:r>
          <w:rPr>
            <w:rStyle w:val="Hyperlink"/>
          </w:rPr>
          <w:t xml:space="preserve">https://jjcurtin.github.io/study_risk2/</w:t>
        </w:r>
      </w:hyperlink>
      <w:r>
        <w:t xml:space="preserve">).</w:t>
      </w:r>
      <w:r>
        <w:t xml:space="preserve"> </w:t>
      </w:r>
    </w:p>
    <w:bookmarkEnd w:id="24"/>
    <w:bookmarkStart w:id="25" w:name="participants"/>
    <w:p>
      <w:pPr>
        <w:pStyle w:val="Heading2"/>
      </w:pPr>
      <w:r>
        <w:t xml:space="preserve">Participants</w:t>
      </w:r>
    </w:p>
    <w:p>
      <w:pPr>
        <w:pStyle w:val="FirstParagraph"/>
      </w:pPr>
      <w:r>
        <w:t xml:space="preserve">We recruited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25"/>
    <w:bookmarkStart w:id="28"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26"/>
      </w:r>
      <w:r>
        <w:t xml:space="preserve">, and $5 per month for sharing geolocation data.</w:t>
      </w:r>
      <w:r>
        <w:rPr>
          <w:rStyle w:val="FootnoteReference"/>
        </w:rPr>
        <w:footnoteReference w:id="27"/>
      </w:r>
      <w:r>
        <w:t xml:space="preserve"> </w:t>
      </w:r>
      <w:r>
        <w:t xml:space="preserve">Participants were also paid $50 per month to offset the cost of maintaining a cellphone data plan.</w:t>
      </w:r>
    </w:p>
    <w:bookmarkEnd w:id="28"/>
    <w:bookmarkStart w:id="32" w:name="measures"/>
    <w:p>
      <w:pPr>
        <w:pStyle w:val="Heading2"/>
      </w:pPr>
      <w:r>
        <w:t xml:space="preserve">Measures</w:t>
      </w:r>
    </w:p>
    <w:bookmarkStart w:id="29"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29"/>
    <w:bookmarkStart w:id="30"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30"/>
    <w:bookmarkStart w:id="31"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avilable in the supplement.</w:t>
      </w:r>
      <w:r>
        <w:t xml:space="preserve"> </w:t>
      </w:r>
    </w:p>
    <w:bookmarkEnd w:id="31"/>
    <w:bookmarkEnd w:id="32"/>
    <w:bookmarkStart w:id="41"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3"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2"/>
        </w:numPr>
      </w:pPr>
      <w:r>
        <w:rPr>
          <w:i/>
          <w:iCs/>
        </w:rPr>
        <w:t xml:space="preserve">The prediction window day.</w:t>
      </w:r>
      <w:r>
        <w:t xml:space="preserve"> </w:t>
      </w:r>
      <w:r>
        <w:t xml:space="preserve">We created one-hot 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33"/>
    <w:bookmarkStart w:id="34"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34"/>
    <w:bookmarkStart w:id="35"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35"/>
    <w:bookmarkStart w:id="36"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36"/>
    <w:bookmarkStart w:id="39"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37" w:name="auroc-and-model-comparisons"/>
    <w:p>
      <w:pPr>
        <w:pStyle w:val="Heading4"/>
      </w:pPr>
      <w:r>
        <w:t xml:space="preserve">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37"/>
    <w:bookmarkStart w:id="38" w:name="calibration-and-overall-performance"/>
    <w:p>
      <w:pPr>
        <w:pStyle w:val="Heading4"/>
      </w:pPr>
      <w:r>
        <w:t xml:space="preserve">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correspond to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38"/>
    <w:bookmarkEnd w:id="39"/>
    <w:bookmarkStart w:id="40"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40"/>
    <w:bookmarkEnd w:id="41"/>
    <w:bookmarkEnd w:id="42"/>
    <w:bookmarkStart w:id="76" w:name="results"/>
    <w:p>
      <w:pPr>
        <w:pStyle w:val="Heading1"/>
      </w:pPr>
      <w:r>
        <w:t xml:space="preserve">Results</w:t>
      </w:r>
    </w:p>
    <w:bookmarkStart w:id="47"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43"/>
      </w:r>
      <w:r>
        <w:t xml:space="preserve"> </w:t>
      </w:r>
      <w:r>
        <w:t xml:space="preserve">Of these 330, 14 were excluded for not providing at least 28 days of EMA data with acceptable adherence</w:t>
      </w:r>
      <w:r>
        <w:rPr>
          <w:rStyle w:val="FootnoteReference"/>
        </w:rPr>
        <w:footnoteReference w:id="44"/>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 w:name="tbl-1"/>
          <w:p>
            <w:pPr>
              <w:jc w:val="center"/>
            </w:pPr>
            <w:pPr>
              <w:jc w:val="star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62</w:t>
                  </w:r>
                </w:p>
              </w:tc>
              <w:tc>
                <w:tcPr/>
                <w:p>
                  <w:pPr>
                    <w:pStyle w:val="Compact"/>
                    <w:jc w:val="right"/>
                    <w:jc w:val="center"/>
                  </w:pPr>
                  <w:r>
                    <w:t xml:space="preserve">20.9</w:t>
                  </w:r>
                </w:p>
              </w:tc>
            </w:tr>
            <w:tr>
              <w:tc>
                <w:tcPr/>
                <w:p>
                  <w:pPr>
                    <w:pStyle w:val="Compact"/>
                    <w:jc w:val="left"/>
                    <w:jc w:val="center"/>
                  </w:pPr>
                  <w:r>
                    <w:t xml:space="preserve">urban</w:t>
                  </w:r>
                </w:p>
              </w:tc>
              <w:tc>
                <w:tcPr/>
                <w:p>
                  <w:pPr>
                    <w:pStyle w:val="Compact"/>
                    <w:jc w:val="right"/>
                    <w:jc w:val="center"/>
                  </w:pPr>
                  <w:r>
                    <w:t xml:space="preserve">274</w:t>
                  </w:r>
                </w:p>
              </w:tc>
              <w:tc>
                <w:tcPr/>
                <w:p>
                  <w:pPr>
                    <w:pStyle w:val="Compact"/>
                    <w:jc w:val="right"/>
                    <w:jc w:val="center"/>
                  </w:pPr>
                  <w:r>
                    <w:t xml:space="preserve">92.6</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45"/>
          <w:p/>
        </w:tc>
      </w:tr>
    </w:tbl>
    <w:p>
      <w:pPr>
        <w:pStyle w:val="BodyText"/>
      </w:pPr>
      <w:r>
        <w:rPr>
          <w:vertAlign w:val="subscript"/>
        </w:rPr>
        <w:t xml:space="preserve">Source:</w:t>
      </w:r>
      <w:r>
        <w:rPr>
          <w:vertAlign w:val="subscript"/>
        </w:rPr>
        <w:t xml:space="preserve"> </w:t>
      </w:r>
      <w:hyperlink r:id="rId46">
        <w:r>
          <w:rPr>
            <w:rStyle w:val="Hyperlink"/>
            <w:vertAlign w:val="subscript"/>
          </w:rPr>
          <w:t xml:space="preserve">Make All Tables for Main Manuscript</w:t>
        </w:r>
      </w:hyperlink>
    </w:p>
    <w:bookmarkEnd w:id="47"/>
    <w:bookmarkStart w:id="48"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48"/>
    <w:bookmarkStart w:id="56" w:name="auroc-and-model-comparisons-1"/>
    <w:p>
      <w:pPr>
        <w:pStyle w:val="Heading2"/>
      </w:pPr>
      <w:r>
        <w:t xml:space="preserve">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2"/>
          <w:p>
            <w:pPr>
              <w:jc w:val="center"/>
            </w:pPr>
            <w:pPr>
              <w:jc w:val="star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49"/>
          <w:p/>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Tables for Main Manuscript</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54" w:name="fig-1"/>
          <w:p>
            <w:pPr>
              <w:pStyle w:val="Compact"/>
              <w:jc w:val="center"/>
            </w:pPr>
            <w:r>
              <w:drawing>
                <wp:inline>
                  <wp:extent cx="5334000" cy="3810000"/>
                  <wp:effectExtent b="0" l="0" r="0" t="0"/>
                  <wp:docPr descr="" title="" id="52" name="Picture"/>
                  <a:graphic>
                    <a:graphicData uri="http://schemas.openxmlformats.org/drawingml/2006/picture">
                      <pic:pic>
                        <pic:nvPicPr>
                          <pic:cNvPr descr="index_files/figure-docx/notebooks-mak_figures-fig-1-output-2.png" id="53" name="Picture"/>
                          <pic:cNvPicPr>
                            <a:picLocks noChangeArrowheads="1" noChangeAspect="1"/>
                          </pic:cNvPicPr>
                        </pic:nvPicPr>
                        <pic:blipFill>
                          <a:blip r:embed="rId5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Figures</w:t>
        </w:r>
      </w:hyperlink>
    </w:p>
    <w:bookmarkEnd w:id="56"/>
    <w:bookmarkStart w:id="63"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57"/>
      </w:r>
      <w:r>
        <w:t xml:space="preserve"> </w:t>
      </w:r>
      <w:r>
        <w:t xml:space="preserve">This model produced generally well-calibrated raw probabilities (brier score = 0.014; left panel of</w:t>
      </w:r>
      <w:r>
        <w:t xml:space="preserve"> </w:t>
      </w:r>
      <w:hyperlink w:anchor="fig-2">
        <w:r>
          <w:rPr>
            <w:rStyle w:val="Hyperlink"/>
          </w:rPr>
          <w:t xml:space="preserve">Figure 2</w:t>
        </w:r>
      </w:hyperlink>
      <w:r>
        <w:t xml:space="preserve">). We attempted to improve calibration with Platt scaling and results were comparable (brier score = 0.014). Histograms of raw risk probability distributions separately by true lapse outcome are presented in the right panel of</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 w:name="fig-2"/>
          <w:p>
            <w:pPr>
              <w:pStyle w:val="Compact"/>
              <w:jc w:val="center"/>
            </w:pPr>
            <w:r>
              <w:drawing>
                <wp:inline>
                  <wp:extent cx="5334000" cy="3333749"/>
                  <wp:effectExtent b="0" l="0" r="0" t="0"/>
                  <wp:docPr descr="" title="" id="59" name="Picture"/>
                  <a:graphic>
                    <a:graphicData uri="http://schemas.openxmlformats.org/drawingml/2006/picture">
                      <pic:pic>
                        <pic:nvPicPr>
                          <pic:cNvPr descr="index_files/figure-docx/notebooks-mak_figures-fig-2-output-1.png" id="60" name="Picture"/>
                          <pic:cNvPicPr>
                            <a:picLocks noChangeArrowheads="1" noChangeAspect="1"/>
                          </pic:cNvPicPr>
                        </pic:nvPicPr>
                        <pic:blipFill>
                          <a:blip r:embed="rId58"/>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left panel presents a calibration plot of raw and Platt scaled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scaled (top) probabilities. The right panel presents histograms of raw (uncalibrated) risk probability distributions separately by true lapse outcome.</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Figures</w:t>
        </w:r>
      </w:hyperlink>
    </w:p>
    <w:bookmarkEnd w:id="63"/>
    <w:bookmarkStart w:id="75" w:name="feature-importance-1"/>
    <w:p>
      <w:pPr>
        <w:pStyle w:val="Heading2"/>
      </w:pPr>
      <w:r>
        <w:t xml:space="preserve">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(i.e., largest magnitude of change in log-odds) was differences in past opioid use. These feature was nearly two-fold more important than the next most important feature, raw urge ratings.</w:t>
      </w:r>
      <w:r>
        <w:t xml:space="preserve"> </w:t>
      </w:r>
      <w:hyperlink w:anchor="fig-3">
        <w:r>
          <w:rPr>
            <w:rStyle w:val="Hyperlink"/>
          </w:rPr>
          <w:t xml:space="preserve">Figure 3</w:t>
        </w:r>
      </w:hyperlink>
      <w:r>
        <w:t xml:space="preserve"> </w:t>
      </w:r>
      <w:r>
        <w:t xml:space="preserve">displays the top 30 (out of 186) feature categories, as defined by the 30 largest absolute mean shapley values. In the supplement, we provide full figures of all possible feature categories.</w:t>
      </w:r>
    </w:p>
    <w:p>
      <w:pPr>
        <w:pStyle w:val="BodyText"/>
      </w:pPr>
      <w:r>
        <w:t xml:space="preserve">A second approach where we calculated the proportion of observations in which each feature category had the highest Shapley value (i.e., largest magnitude and prevalence), revealed the most important feature to be raw urge ratings, followed by raw abstinence confidence ratings. Differences in past opioid use was the third most important feature by this method, suggesting that while it has a strong relationship with lapse risk, it is not as prevalent across observations as other features. Notably, in this approach several additional comparably important features emerged, including differences in past pleasant experiences,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68" w:name="fig-3"/>
          <w:p>
            <w:pPr>
              <w:pStyle w:val="Compact"/>
              <w:jc w:val="center"/>
            </w:pPr>
            <w:bookmarkStart w:id="67" w:name="fig-3"/>
            <w:r>
              <w:drawing>
                <wp:inline>
                  <wp:extent cx="5334000" cy="3333749"/>
                  <wp:effectExtent b="0" l="0" r="0" t="0"/>
                  <wp:docPr descr="" title="" id="65" name="Picture"/>
                  <a:graphic>
                    <a:graphicData uri="http://schemas.openxmlformats.org/drawingml/2006/picture">
                      <pic:pic>
                        <pic:nvPicPr>
                          <pic:cNvPr descr="index_files/figure-docx/notebooks-mak_figures-fig-3-output-1.png" id="66" name="Picture"/>
                          <pic:cNvPicPr>
                            <a:picLocks noChangeArrowheads="1" noChangeAspect="1"/>
                          </pic:cNvPicPr>
                        </pic:nvPicPr>
                        <pic:blipFill>
                          <a:blip r:embed="rId64"/>
                          <a:stretch>
                            <a:fillRect/>
                          </a:stretch>
                        </pic:blipFill>
                        <pic:spPr bwMode="auto">
                          <a:xfrm>
                            <a:off x="0" y="0"/>
                            <a:ext cx="5334000" cy="3333749"/>
                          </a:xfrm>
                          <a:prstGeom prst="rect">
                            <a:avLst/>
                          </a:prstGeom>
                          <a:noFill/>
                          <a:ln w="9525">
                            <a:noFill/>
                            <a:headEnd/>
                            <a:tailEnd/>
                          </a:ln>
                        </pic:spPr>
                      </pic:pic>
                    </a:graphicData>
                  </a:graphic>
                </wp:inline>
              </w:drawing>
            </w:r>
            <w:bookmarkEnd w:id="67"/>
          </w:p>
          <w:p>
            <w:pPr>
              <w:jc w:val="center"/>
            </w:pPr>
            <w:pPr>
              <w:jc w:val="start"/>
              <w:spacing w:before="200"/>
              <w:pStyle w:val="ImageCaption"/>
            </w:pPr>
            <w:r>
              <w:t xml:space="preserve">Figure 3</w:t>
            </w:r>
          </w:p>
          <w:bookmarkEnd w:id="68"/>
        </w:tc>
      </w:tr>
    </w:tbl>
    <w:p>
      <w:pPr>
        <w:pStyle w:val="BodyText"/>
      </w:pPr>
      <w:r>
        <w:rPr>
          <w:vertAlign w:val="subscript"/>
        </w:rPr>
        <w:t xml:space="preserve">Source:</w:t>
      </w:r>
      <w:r>
        <w:rPr>
          <w:vertAlign w:val="subscript"/>
        </w:rPr>
        <w:t xml:space="preserve"> </w:t>
      </w:r>
      <w:hyperlink r:id="rId69">
        <w:r>
          <w:rPr>
            <w:rStyle w:val="Hyperlink"/>
            <w:vertAlign w:val="subscript"/>
          </w:rPr>
          <w:t xml:space="preserve">Make Figures</w:t>
        </w:r>
      </w:hyperlink>
    </w:p>
    <w:p>
      <w:pPr>
        <w:pStyle w:val="BodyText"/>
      </w:pPr>
      <w:r>
        <w:t xml:space="preserve">To understand the direction in which these feature categories adjusted the lapse risk predictions, we plotted Shapley-feature value partial dependence plots for the top 30 feature categories (</w:t>
      </w:r>
      <w:hyperlink w:anchor="fig-4">
        <w:r>
          <w:rPr>
            <w:rStyle w:val="Hyperlink"/>
          </w:rPr>
          <w:t xml:space="preserve">Figure 4</w:t>
        </w:r>
      </w:hyperlink>
      <w:r>
        <w:t xml:space="preserve">). Differenes in past opioid use lowered lapse risk probability for participants who did not lapse on study (i.e., a feature score of 0). Lapse probability dramatically increased when participants had increased reported opioid use over the past 24 and 168 hours. Unsurprisingly, raw urge and abstinence confidence ratings had linear relationships to lapse risk, with higher urge ratings increasing lapse risk probability and higher abstinence confidence decreasing lapse risk probability. There was a more nuanced finding for stimulant use and opioid lapse risk probability. Raw rate counts of stimulant use increased lapse risk; however, participants were at highest risk when recent stimulant use decreased (i.e., Stimulant Use, Diff).</w:t>
      </w:r>
    </w:p>
    <w:tbl>
      <w:tblPr>
        <w:tblStyle w:val="Table"/>
        <w:tblW w:type="pct" w:w="5000"/>
        <w:tblLayout w:type="fixed"/>
        <w:tblLook w:firstRow="0" w:lastRow="0" w:firstColumn="0" w:lastColumn="0" w:noHBand="0" w:noVBand="0" w:val="0000"/>
      </w:tblPr>
      <w:tblGrid>
        <w:gridCol w:w="7920"/>
      </w:tblGrid>
      <w:tr>
        <w:tc>
          <w:tcPr/>
          <w:bookmarkStart w:id="73" w:name="fig-4"/>
          <w:p>
            <w:pPr>
              <w:pStyle w:val="Compact"/>
              <w:jc w:val="center"/>
            </w:pPr>
            <w:r>
              <w:drawing>
                <wp:inline>
                  <wp:extent cx="5334000" cy="7467600"/>
                  <wp:effectExtent b="0" l="0" r="0" t="0"/>
                  <wp:docPr descr="" title="" id="71" name="Picture"/>
                  <a:graphic>
                    <a:graphicData uri="http://schemas.openxmlformats.org/drawingml/2006/picture">
                      <pic:pic>
                        <pic:nvPicPr>
                          <pic:cNvPr descr="index_files/figure-docx/notebooks-mak_figures-fig-4-output-1.png" id="72" name="Picture"/>
                          <pic:cNvPicPr>
                            <a:picLocks noChangeArrowheads="1" noChangeAspect="1"/>
                          </pic:cNvPicPr>
                        </pic:nvPicPr>
                        <pic:blipFill>
                          <a:blip r:embed="rId70"/>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Feature importance partial dependence plots.</w:t>
            </w:r>
          </w:p>
          <w:bookmarkEnd w:id="73"/>
        </w:tc>
      </w:tr>
    </w:tbl>
    <w:p>
      <w:pPr>
        <w:pStyle w:val="BodyText"/>
      </w:pPr>
      <w:r>
        <w:rPr>
          <w:vertAlign w:val="subscript"/>
        </w:rPr>
        <w:t xml:space="preserve">Source:</w:t>
      </w:r>
      <w:r>
        <w:rPr>
          <w:vertAlign w:val="subscript"/>
        </w:rPr>
        <w:t xml:space="preserve"> </w:t>
      </w:r>
      <w:hyperlink r:id="rId74">
        <w:r>
          <w:rPr>
            <w:rStyle w:val="Hyperlink"/>
            <w:vertAlign w:val="subscript"/>
          </w:rPr>
          <w:t xml:space="preserve">Make Figures</w:t>
        </w:r>
      </w:hyperlink>
    </w:p>
    <w:bookmarkEnd w:id="75"/>
    <w:bookmarkEnd w:id="76"/>
    <w:bookmarkStart w:id="77" w:name="discussion"/>
    <w:p>
      <w:pPr>
        <w:pStyle w:val="Heading1"/>
      </w:pPr>
      <w:r>
        <w:t xml:space="preserve">Discussion</w:t>
      </w:r>
    </w:p>
    <w:p>
      <w:pPr>
        <w:numPr>
          <w:ilvl w:val="0"/>
          <w:numId w:val="1003"/>
        </w:numPr>
      </w:pPr>
      <w:r>
        <w:t xml:space="preserve">Discuss contrast between top global features and</w:t>
      </w:r>
      <w:r>
        <w:t xml:space="preserve"> </w:t>
      </w:r>
      <w:r>
        <w:t xml:space="preserve">“actual”</w:t>
      </w:r>
      <w:r>
        <w:t xml:space="preserve"> </w:t>
      </w:r>
      <w:r>
        <w:t xml:space="preserve">important features (i.e., what comes up day to day as being important). What does this mean for how we traditionally conceptualize feature importance?</w:t>
      </w:r>
    </w:p>
    <w:p>
      <w:pPr>
        <w:numPr>
          <w:ilvl w:val="0"/>
          <w:numId w:val="1003"/>
        </w:numPr>
      </w:pPr>
      <w:r>
        <w:t xml:space="preserve">day of prediction window not important for oud but important for aud (add supplemental figure of lapses by day of week and hour?)</w:t>
      </w:r>
    </w:p>
    <w:p>
      <w:pPr>
        <w:numPr>
          <w:ilvl w:val="0"/>
          <w:numId w:val="1003"/>
        </w:numPr>
      </w:pPr>
      <w:r>
        <w:t xml:space="preserve">When discussing fairness - we don’t look at age. People over 65 is an important group to look at but they were not in our sample</w:t>
      </w:r>
    </w:p>
    <w:p>
      <w:pPr>
        <w:numPr>
          <w:ilvl w:val="0"/>
          <w:numId w:val="1003"/>
        </w:numPr>
      </w:pPr>
      <w:r>
        <w:t xml:space="preserve">Acknowledge fairness differences still exist. Research should look into additional risk factors that may better predict risk of lapse in minority populations.</w:t>
      </w:r>
    </w:p>
    <w:p>
      <w:pPr>
        <w:numPr>
          <w:ilvl w:val="0"/>
          <w:numId w:val="1003"/>
        </w:numPr>
      </w:pPr>
      <w:r>
        <w:t xml:space="preserve">Decision not include misclassification cost analyses: acknowledge that discrimination and calibration don’t equate to clinical utilility. Decision analysis tools, such as net benefit curves could be used to quantify clinical benefit at relevant probability thresholds. Our model is designed to not be used to make decisions about whether or not to treat but to provide model feedback to individuals each day to help them monitor their risk for lapse. Therefore the decision has already been made to always treat. Should these models be used to inform when to deploy more cost-intensive interventions (e.g., communicating risk level to a therapist to initiate contact) these analyses will be important next steps.</w:t>
      </w:r>
    </w:p>
    <w:p>
      <w:pPr>
        <w:numPr>
          <w:ilvl w:val="0"/>
          <w:numId w:val="1003"/>
        </w:numPr>
      </w:pPr>
      <w:r>
        <w:t xml:space="preserve">Although, classification and clinical utility are two other important domains for evaluating a model intended to make or inform a decision (e.g., whether to send a support message to an individual). In applications of our model there would be no decision to be made. Every day an individual would receive a message regardless of their lapse risk, equivalent to a treat all condition. Therefore, we have constrained our evaluation to focus on the probability estimates for evaluating performance.</w:t>
      </w:r>
      <w:r>
        <w:t xml:space="preserve"> </w:t>
      </w:r>
    </w:p>
    <w:p>
      <w:pPr>
        <w:numPr>
          <w:ilvl w:val="0"/>
          <w:numId w:val="1003"/>
        </w:numPr>
      </w:pPr>
      <w:r>
        <w:t xml:space="preserve">Optimal thresholds depend on the setting, outcome prevalence, and the relative costs of misclassification, and should be addressed separately from discrimination evaluation (e.g., with a decision curve analysis).</w:t>
      </w:r>
      <w:r>
        <w:t xml:space="preserve"> </w:t>
      </w:r>
    </w:p>
    <w:p>
      <w:pPr>
        <w:numPr>
          <w:ilvl w:val="0"/>
          <w:numId w:val="1003"/>
        </w:numPr>
      </w:pPr>
      <w:r>
        <w:t xml:space="preserve">Discussion about GPS data. No evidence that geolocation offered incremental predictive value. Hard to get. With better sensing features could be more important. 12% of gps features were imputed as median. Low leverage for predictions.</w:t>
      </w:r>
    </w:p>
    <w:p>
      <w:pPr>
        <w:numPr>
          <w:ilvl w:val="0"/>
          <w:numId w:val="1003"/>
        </w:numPr>
      </w:pPr>
      <w:r>
        <w:t xml:space="preserve">If all you care about is prediction, you don’t need gps. If you desire a more nuanced understanding of risk across a more diverse array of risk features than gps is helpful.</w:t>
      </w:r>
    </w:p>
    <w:p>
      <w:pPr>
        <w:numPr>
          <w:ilvl w:val="0"/>
          <w:numId w:val="1003"/>
        </w:numPr>
      </w:pPr>
      <w:r>
        <w:t xml:space="preserve">GPS may be better if we did not rely on only known locations but could passively contextualize locations. May be better with more robust sensing methods.</w:t>
      </w:r>
    </w:p>
    <w:p>
      <w:pPr>
        <w:numPr>
          <w:ilvl w:val="0"/>
          <w:numId w:val="1003"/>
        </w:numPr>
      </w:pPr>
      <w:r>
        <w:t xml:space="preserve">Overall, GPS didn’t hurt predictions but also didn’t add any value above and beyond daily surveys. Appears to overlap with EMA.</w:t>
      </w:r>
    </w:p>
    <w:p>
      <w:pPr>
        <w:numPr>
          <w:ilvl w:val="0"/>
          <w:numId w:val="1003"/>
        </w:numPr>
      </w:pPr>
      <w:r>
        <w:t xml:space="preserve">Daily surveys remain to be a feasible and predictive signal even when measured over a year.</w:t>
      </w:r>
    </w:p>
    <w:p>
      <w:pPr>
        <w:numPr>
          <w:ilvl w:val="0"/>
          <w:numId w:val="1003"/>
        </w:numPr>
      </w:pPr>
      <w:r>
        <w:t xml:space="preserve">Participants provided data for up to 12 months. This extended window of recovery (12 months vs. 3 months) is critical for evaluating the value of an algorithm intended for ongoing continuing care support and understanding how lapse risk evolves as people progress in their recovery (i.e., past 3 months). Unfortunately, our ability to address explanatory questions about the time course of lapse risk, and how individuals might cluster on different recovery trajectories is limited with traditional machine learning methods. These methods do not capture the repeated nature of sensing data. Each lapse prediction is treated as a new independent observation. We can account for the repeated observations in our sensing data by engineering features that capture individual changes over time to produce unbiased and precise estimates of predictive performance. However, more traditional time series models are better suited for understanding the temporal dynamics of lapse risk over long periods of recovery.</w:t>
      </w:r>
    </w:p>
    <w:p>
      <w:pPr>
        <w:numPr>
          <w:ilvl w:val="0"/>
          <w:numId w:val="1003"/>
        </w:numPr>
      </w:pPr>
      <w:r>
        <w:t xml:space="preserve">The longer duration of participation also provides the opportunity to experiment with lagged prediction windows further than two weeks into the future (i.e., 1 month). However, in a machine learning framework, different models must be built to predict lapses at varying times in the future. For example, a recovery monitoring support system that detects both immediate lapse risk (i.e., in the next 24 hours) and future lapse risk (i.e, in the next 2 weeks and in the next month) would need three models. This approach is time consuming, cumbersome, and still only provides coarse understanding of time-course. Therefore, this study will only predict immediate lapse risk.</w:t>
      </w:r>
    </w:p>
    <w:bookmarkEnd w:id="77"/>
    <w:bookmarkStart w:id="113" w:name="references"/>
    <w:p>
      <w:pPr>
        <w:pStyle w:val="Heading1"/>
      </w:pPr>
      <w:r>
        <w:t xml:space="preserve">References</w:t>
      </w:r>
    </w:p>
    <w:bookmarkStart w:id="112" w:name="refs"/>
    <w:bookmarkStart w:id="78"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78"/>
    <w:bookmarkStart w:id="80"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9">
        <w:r>
          <w:rPr>
            <w:rStyle w:val="Hyperlink"/>
          </w:rPr>
          <w:t xml:space="preserve">https://doi.org/10.21231/GNT1-HW21</w:t>
        </w:r>
      </w:hyperlink>
    </w:p>
    <w:bookmarkEnd w:id="80"/>
    <w:bookmarkStart w:id="82"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81">
        <w:r>
          <w:rPr>
            <w:rStyle w:val="Hyperlink"/>
          </w:rPr>
          <w:t xml:space="preserve">https://doi.org/10.1136/bmj-2023-078378</w:t>
        </w:r>
      </w:hyperlink>
    </w:p>
    <w:bookmarkEnd w:id="82"/>
    <w:bookmarkStart w:id="83"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83"/>
    <w:bookmarkStart w:id="84"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84"/>
    <w:bookmarkStart w:id="86"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85">
        <w:r>
          <w:rPr>
            <w:rStyle w:val="Hyperlink"/>
          </w:rPr>
          <w:t xml:space="preserve">https://doi.org/10.1016/j.drugalcdep.2006.05.012</w:t>
        </w:r>
      </w:hyperlink>
    </w:p>
    <w:bookmarkEnd w:id="86"/>
    <w:bookmarkStart w:id="88"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87">
        <w:r>
          <w:rPr>
            <w:rStyle w:val="Hyperlink"/>
          </w:rPr>
          <w:t xml:space="preserve">https://doi.org/10.1001/jamapsychiatry.2013.4642</w:t>
        </w:r>
      </w:hyperlink>
    </w:p>
    <w:bookmarkEnd w:id="88"/>
    <w:bookmarkStart w:id="89"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89"/>
    <w:bookmarkStart w:id="91"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90">
        <w:r>
          <w:rPr>
            <w:rStyle w:val="Hyperlink"/>
          </w:rPr>
          <w:t xml:space="preserve">https://doi.org/10.1001/jamanetworkopen.2020.5852</w:t>
        </w:r>
      </w:hyperlink>
    </w:p>
    <w:bookmarkEnd w:id="91"/>
    <w:bookmarkStart w:id="92"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92"/>
    <w:bookmarkStart w:id="93"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93"/>
    <w:bookmarkStart w:id="95"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94">
        <w:r>
          <w:rPr>
            <w:rStyle w:val="Hyperlink"/>
          </w:rPr>
          <w:t xml:space="preserve">https://doi.org/10.1111/jrh.70076</w:t>
        </w:r>
      </w:hyperlink>
    </w:p>
    <w:bookmarkEnd w:id="95"/>
    <w:bookmarkStart w:id="96"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96"/>
    <w:bookmarkStart w:id="98"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t xml:space="preserve">,</w:t>
      </w:r>
      <w:r>
        <w:t xml:space="preserve"> </w:t>
      </w:r>
      <w:r>
        <w:rPr>
          <w:i/>
          <w:iCs/>
        </w:rPr>
        <w:t xml:space="preserve">137</w:t>
      </w:r>
      <w:r>
        <w:t xml:space="preserve">(5), 955–963.</w:t>
      </w:r>
      <w:r>
        <w:t xml:space="preserve"> </w:t>
      </w:r>
      <w:hyperlink r:id="rId97">
        <w:r>
          <w:rPr>
            <w:rStyle w:val="Hyperlink"/>
          </w:rPr>
          <w:t xml:space="preserve">https://doi.org/10.1177/00333549211041554</w:t>
        </w:r>
      </w:hyperlink>
    </w:p>
    <w:bookmarkEnd w:id="98"/>
    <w:bookmarkStart w:id="100"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99">
        <w:r>
          <w:rPr>
            <w:rStyle w:val="Hyperlink"/>
          </w:rPr>
          <w:t xml:space="preserve">https://doi.org/10.2196/29563</w:t>
        </w:r>
      </w:hyperlink>
    </w:p>
    <w:bookmarkEnd w:id="100"/>
    <w:bookmarkStart w:id="102"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01">
        <w:r>
          <w:rPr>
            <w:rStyle w:val="Hyperlink"/>
          </w:rPr>
          <w:t xml:space="preserve">https://doi.org/10.1016/j.jsat.2021.108710</w:t>
        </w:r>
      </w:hyperlink>
    </w:p>
    <w:bookmarkEnd w:id="102"/>
    <w:bookmarkStart w:id="104"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03">
        <w:r>
          <w:rPr>
            <w:rStyle w:val="Hyperlink"/>
          </w:rPr>
          <w:t xml:space="preserve">https://doi.org/10.1016/j.drugalcdep.2019.05.017</w:t>
        </w:r>
      </w:hyperlink>
    </w:p>
    <w:bookmarkEnd w:id="104"/>
    <w:bookmarkStart w:id="105"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105"/>
    <w:bookmarkStart w:id="107"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06">
        <w:r>
          <w:rPr>
            <w:rStyle w:val="Hyperlink"/>
          </w:rPr>
          <w:t xml:space="preserve">https://doi.org/10.1016/j.landig.2025.100916</w:t>
        </w:r>
      </w:hyperlink>
    </w:p>
    <w:bookmarkEnd w:id="107"/>
    <w:bookmarkStart w:id="109"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108">
        <w:r>
          <w:rPr>
            <w:rStyle w:val="Hyperlink"/>
          </w:rPr>
          <w:t xml:space="preserve">https://doi.org/10.1016/j.artmed.2020.101987</w:t>
        </w:r>
      </w:hyperlink>
    </w:p>
    <w:bookmarkEnd w:id="109"/>
    <w:bookmarkStart w:id="111"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110">
        <w:r>
          <w:rPr>
            <w:rStyle w:val="Hyperlink"/>
          </w:rPr>
          <w:t xml:space="preserve">https://doi.org/10.1080/17441692.2023.2277854</w:t>
        </w:r>
      </w:hyperlink>
    </w:p>
    <w:bookmarkEnd w:id="111"/>
    <w:bookmarkEnd w:id="112"/>
    <w:bookmarkEnd w:id="1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27">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43">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44">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57">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70" Target="media/rId70.png" /><Relationship Type="http://schemas.openxmlformats.org/officeDocument/2006/relationships/hyperlink" Id="rId90" Target="https://doi.org/10.1001/jamanetworkopen.2020.5852" TargetMode="External" /><Relationship Type="http://schemas.openxmlformats.org/officeDocument/2006/relationships/hyperlink" Id="rId87" Target="https://doi.org/10.1001/jamapsychiatry.2013.4642" TargetMode="External" /><Relationship Type="http://schemas.openxmlformats.org/officeDocument/2006/relationships/hyperlink" Id="rId108" Target="https://doi.org/10.1016/j.artmed.2020.101987" TargetMode="External" /><Relationship Type="http://schemas.openxmlformats.org/officeDocument/2006/relationships/hyperlink" Id="rId85" Target="https://doi.org/10.1016/j.drugalcdep.2006.05.012" TargetMode="External" /><Relationship Type="http://schemas.openxmlformats.org/officeDocument/2006/relationships/hyperlink" Id="rId103" Target="https://doi.org/10.1016/j.drugalcdep.2019.05.017" TargetMode="External" /><Relationship Type="http://schemas.openxmlformats.org/officeDocument/2006/relationships/hyperlink" Id="rId101" Target="https://doi.org/10.1016/j.jsat.2021.108710" TargetMode="External" /><Relationship Type="http://schemas.openxmlformats.org/officeDocument/2006/relationships/hyperlink" Id="rId106" Target="https://doi.org/10.1016/j.landig.2025.100916" TargetMode="External" /><Relationship Type="http://schemas.openxmlformats.org/officeDocument/2006/relationships/hyperlink" Id="rId110" Target="https://doi.org/10.1080/17441692.2023.2277854" TargetMode="External" /><Relationship Type="http://schemas.openxmlformats.org/officeDocument/2006/relationships/hyperlink" Id="rId94" Target="https://doi.org/10.1111/jrh.70076" TargetMode="External" /><Relationship Type="http://schemas.openxmlformats.org/officeDocument/2006/relationships/hyperlink" Id="rId81" Target="https://doi.org/10.1136/bmj-2023-078378" TargetMode="External" /><Relationship Type="http://schemas.openxmlformats.org/officeDocument/2006/relationships/hyperlink" Id="rId97" Target="https://doi.org/10.1177/00333549211041554" TargetMode="External" /><Relationship Type="http://schemas.openxmlformats.org/officeDocument/2006/relationships/hyperlink" Id="rId79" Target="https://doi.org/10.21231/GNT1-HW21" TargetMode="External" /><Relationship Type="http://schemas.openxmlformats.org/officeDocument/2006/relationships/hyperlink" Id="rId99" Target="https://doi.org/10.2196/29563" TargetMode="External" /><Relationship Type="http://schemas.openxmlformats.org/officeDocument/2006/relationships/hyperlink" Id="rId23" Target="https://jjcurtin.github.io/study_risk2/" TargetMode="External" /><Relationship Type="http://schemas.openxmlformats.org/officeDocument/2006/relationships/hyperlink" Id="rId20" Target="https://jjcurtin.github.io/study_risk2/index.qmd.html" TargetMode="External" /><Relationship Type="http://schemas.openxmlformats.org/officeDocument/2006/relationships/hyperlink" Id="rId55" Target="https://jjcurtin.github.io/study_risk2/notebooks\mak_figures-preview.html#cell-fig-1" TargetMode="External" /><Relationship Type="http://schemas.openxmlformats.org/officeDocument/2006/relationships/hyperlink" Id="rId62" Target="https://jjcurtin.github.io/study_risk2/notebooks\mak_figures-preview.html#cell-fig-2" TargetMode="External" /><Relationship Type="http://schemas.openxmlformats.org/officeDocument/2006/relationships/hyperlink" Id="rId69" Target="https://jjcurtin.github.io/study_risk2/notebooks\mak_figures-preview.html#cell-fig-3" TargetMode="External" /><Relationship Type="http://schemas.openxmlformats.org/officeDocument/2006/relationships/hyperlink" Id="rId74" Target="https://jjcurtin.github.io/study_risk2/notebooks\mak_figures-preview.html#cell-fig-4" TargetMode="External" /><Relationship Type="http://schemas.openxmlformats.org/officeDocument/2006/relationships/hyperlink" Id="rId46" Target="https://jjcurtin.github.io/study_risk2/notebooks\mak_tables-preview.html#cell-tbl-1" TargetMode="External" /><Relationship Type="http://schemas.openxmlformats.org/officeDocument/2006/relationships/hyperlink" Id="rId50" Target="https://jjcurtin.github.io/study_risk2/notebooks\mak_tables-preview.html#cell-tbl-2" TargetMode="External" /><Relationship Type="http://schemas.openxmlformats.org/officeDocument/2006/relationships/hyperlink" Id="rId22"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01/jamanetworkopen.2020.5852" TargetMode="External" /><Relationship Type="http://schemas.openxmlformats.org/officeDocument/2006/relationships/hyperlink" Id="rId87" Target="https://doi.org/10.1001/jamapsychiatry.2013.4642" TargetMode="External" /><Relationship Type="http://schemas.openxmlformats.org/officeDocument/2006/relationships/hyperlink" Id="rId108" Target="https://doi.org/10.1016/j.artmed.2020.101987" TargetMode="External" /><Relationship Type="http://schemas.openxmlformats.org/officeDocument/2006/relationships/hyperlink" Id="rId85" Target="https://doi.org/10.1016/j.drugalcdep.2006.05.012" TargetMode="External" /><Relationship Type="http://schemas.openxmlformats.org/officeDocument/2006/relationships/hyperlink" Id="rId103" Target="https://doi.org/10.1016/j.drugalcdep.2019.05.017" TargetMode="External" /><Relationship Type="http://schemas.openxmlformats.org/officeDocument/2006/relationships/hyperlink" Id="rId101" Target="https://doi.org/10.1016/j.jsat.2021.108710" TargetMode="External" /><Relationship Type="http://schemas.openxmlformats.org/officeDocument/2006/relationships/hyperlink" Id="rId106" Target="https://doi.org/10.1016/j.landig.2025.100916" TargetMode="External" /><Relationship Type="http://schemas.openxmlformats.org/officeDocument/2006/relationships/hyperlink" Id="rId110" Target="https://doi.org/10.1080/17441692.2023.2277854" TargetMode="External" /><Relationship Type="http://schemas.openxmlformats.org/officeDocument/2006/relationships/hyperlink" Id="rId94" Target="https://doi.org/10.1111/jrh.70076" TargetMode="External" /><Relationship Type="http://schemas.openxmlformats.org/officeDocument/2006/relationships/hyperlink" Id="rId81" Target="https://doi.org/10.1136/bmj-2023-078378" TargetMode="External" /><Relationship Type="http://schemas.openxmlformats.org/officeDocument/2006/relationships/hyperlink" Id="rId97" Target="https://doi.org/10.1177/00333549211041554" TargetMode="External" /><Relationship Type="http://schemas.openxmlformats.org/officeDocument/2006/relationships/hyperlink" Id="rId79" Target="https://doi.org/10.21231/GNT1-HW21" TargetMode="External" /><Relationship Type="http://schemas.openxmlformats.org/officeDocument/2006/relationships/hyperlink" Id="rId99" Target="https://doi.org/10.2196/29563" TargetMode="External" /><Relationship Type="http://schemas.openxmlformats.org/officeDocument/2006/relationships/hyperlink" Id="rId23" Target="https://jjcurtin.github.io/study_risk2/" TargetMode="External" /><Relationship Type="http://schemas.openxmlformats.org/officeDocument/2006/relationships/hyperlink" Id="rId20" Target="https://jjcurtin.github.io/study_risk2/index.qmd.html" TargetMode="External" /><Relationship Type="http://schemas.openxmlformats.org/officeDocument/2006/relationships/hyperlink" Id="rId55" Target="https://jjcurtin.github.io/study_risk2/notebooks\mak_figures-preview.html#cell-fig-1" TargetMode="External" /><Relationship Type="http://schemas.openxmlformats.org/officeDocument/2006/relationships/hyperlink" Id="rId62" Target="https://jjcurtin.github.io/study_risk2/notebooks\mak_figures-preview.html#cell-fig-2" TargetMode="External" /><Relationship Type="http://schemas.openxmlformats.org/officeDocument/2006/relationships/hyperlink" Id="rId69" Target="https://jjcurtin.github.io/study_risk2/notebooks\mak_figures-preview.html#cell-fig-3" TargetMode="External" /><Relationship Type="http://schemas.openxmlformats.org/officeDocument/2006/relationships/hyperlink" Id="rId74" Target="https://jjcurtin.github.io/study_risk2/notebooks\mak_figures-preview.html#cell-fig-4" TargetMode="External" /><Relationship Type="http://schemas.openxmlformats.org/officeDocument/2006/relationships/hyperlink" Id="rId46" Target="https://jjcurtin.github.io/study_risk2/notebooks\mak_tables-preview.html#cell-tbl-1" TargetMode="External" /><Relationship Type="http://schemas.openxmlformats.org/officeDocument/2006/relationships/hyperlink" Id="rId50" Target="https://jjcurtin.github.io/study_risk2/notebooks\mak_tables-preview.html#cell-tbl-2" TargetMode="External" /><Relationship Type="http://schemas.openxmlformats.org/officeDocument/2006/relationships/hyperlink" Id="rId22"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smartphone sensing and machine learning for personalized daily lapse risk prediction in a national sample of people with opioid use disorder</dc:title>
  <dc:creator>Kendra Wyant; John J. Curtin</dc:creator>
  <cp:keywords>Substance use disorders, Precision mental health</cp:keywords>
  <dcterms:created xsi:type="dcterms:W3CDTF">2026-03-16T17:40:22Z</dcterms:created>
  <dcterms:modified xsi:type="dcterms:W3CDTF">2026-03-16T17:40:22Z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2026-03-16</vt:lpwstr>
  </property>
  <property fmtid="{D5CDD505-2E9C-101B-9397-08002B2CF9AE}" pid="12" name="editor_options">
    <vt:lpwstr/>
  </property>
  <property fmtid="{D5CDD505-2E9C-101B-9397-08002B2CF9AE}" pid="13" name="financial-support">
    <vt:lpwstr>This research was supported by a grant from the National Institute on Drug Abuse (NIDA; R01 DA047315 to John J. Curtin).</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