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2026-03-16</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w:t>
      </w:r>
      <w:r>
        <w:rPr>
          <w:b/>
          <w:bCs/>
        </w:rPr>
        <w:t xml:space="preserve">substanceabuseandmentalhealthservicesadministration2024NSDUHDetailed?</w:t>
      </w:r>
      <w:r>
        <w:t xml:space="preserve">)</w:t>
      </w:r>
      <w:r>
        <w:t xml:space="preserve">. OUD is associated with elevated mortality and morbidity, including increased risk of infectious disease, psychiatric comorbidity, and disability</w:t>
      </w:r>
      <w:r>
        <w:t xml:space="preserve"> </w:t>
      </w:r>
      <w:r>
        <w:t xml:space="preserve">(</w:t>
      </w:r>
      <w:r>
        <w:rPr>
          <w:b/>
          <w:bCs/>
        </w:rPr>
        <w:t xml:space="preserve">hserHighMortalityPatients2017?</w:t>
      </w:r>
      <w:r>
        <w:t xml:space="preserve">)</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w:t>
      </w:r>
      <w:r>
        <w:rPr>
          <w:b/>
          <w:bCs/>
        </w:rPr>
        <w:t xml:space="preserve">florenceEconomicBurdenOpioid2021?</w:t>
      </w:r>
      <w:r>
        <w:t xml:space="preserve">)</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w:t>
      </w:r>
      <w:r>
        <w:rPr>
          <w:b/>
          <w:bCs/>
        </w:rPr>
        <w:t xml:space="preserve">maEffectsMedicationassistedTreatment2019?</w:t>
      </w:r>
      <w:r>
        <w:t xml:space="preserve">)</w:t>
      </w:r>
      <w:r>
        <w:t xml:space="preserve">. Nevertheless, lapses remain common even among individuals receiving MOUD and can increase the risk of treatment dropout, relapse, and overdose</w:t>
      </w:r>
      <w:r>
        <w:t xml:space="preserve"> </w:t>
      </w:r>
      <w:r>
        <w:t xml:space="preserve">(</w:t>
      </w:r>
      <w:r>
        <w:rPr>
          <w:b/>
          <w:bCs/>
        </w:rPr>
        <w:t xml:space="preserve">weinsteinLongtermRetentionOffice2017?</w:t>
      </w:r>
      <w:r>
        <w:t xml:space="preserve">;</w:t>
      </w:r>
      <w:r>
        <w:t xml:space="preserve"> </w:t>
      </w:r>
      <w:r>
        <w:rPr>
          <w:b/>
          <w:bCs/>
        </w:rPr>
        <w:t xml:space="preserve">heinzLongitudinalObservationalStudy2025?</w:t>
      </w:r>
      <w:r>
        <w:t xml:space="preserve">)</w:t>
      </w:r>
      <w:r>
        <w:t xml:space="preserve">.</w:t>
      </w:r>
    </w:p>
    <w:p>
      <w:pPr>
        <w:pStyle w:val="BodyText"/>
      </w:pPr>
      <w:r>
        <w:t xml:space="preserve">Relapse prevention constructs from literature associated with opioid lapse - Map onto EMA and GPS sensing features</w:t>
      </w:r>
      <w:r>
        <w:t xml:space="preserve"> </w:t>
      </w:r>
      <w:r>
        <w:t xml:space="preserve">- environmental cues</w:t>
      </w:r>
      <w:r>
        <w:t xml:space="preserve"> </w:t>
      </w:r>
      <w:r>
        <w:t xml:space="preserve">- EMA acceptable for people in MOUD treatment</w:t>
      </w:r>
      <w:r>
        <w:t xml:space="preserve"> </w:t>
      </w:r>
      <w:r>
        <w:t xml:space="preserve">(</w:t>
      </w:r>
      <w:r>
        <w:rPr>
          <w:b/>
          <w:bCs/>
        </w:rPr>
        <w:t xml:space="preserve">alexanderUseEcologicalMomentary2023?</w:t>
      </w:r>
      <w:r>
        <w:t xml:space="preserve">)</w:t>
      </w:r>
    </w:p>
    <w:p>
      <w:pPr>
        <w:pStyle w:val="BodyText"/>
      </w:pPr>
      <w:r>
        <w:t xml:space="preserve">Prior related work</w:t>
      </w:r>
      <w:r>
        <w:t xml:space="preserve"> </w:t>
      </w:r>
      <w:r>
        <w:t xml:space="preserve">(</w:t>
      </w:r>
      <w:r>
        <w:rPr>
          <w:b/>
          <w:bCs/>
        </w:rPr>
        <w:t xml:space="preserve">heinzLongitudinalObservationalStudy2025?</w:t>
      </w:r>
      <w:r>
        <w:t xml:space="preserve">)</w:t>
      </w:r>
      <w:r>
        <w:t xml:space="preserve"> </w:t>
      </w:r>
      <w:r>
        <w:t xml:space="preserve">- N=62, 12 weeks, Northern CA treatment center, buprenorphine</w:t>
      </w:r>
    </w:p>
    <w:p>
      <w:pPr>
        <w:pStyle w:val="BodyText"/>
      </w:pPr>
      <w:r>
        <w:t xml:space="preserve">Aims of study</w:t>
      </w:r>
      <w:r>
        <w:t xml:space="preserve"> </w:t>
      </w:r>
      <w:r>
        <w:t xml:space="preserve">- Individuals in an MOUD program</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left panel of</w:t>
      </w:r>
      <w:r>
        <w:t xml:space="preserve"> </w:t>
      </w:r>
      <w:hyperlink w:anchor="fig-2">
        <w:r>
          <w:rPr>
            <w:rStyle w:val="Hyperlink"/>
          </w:rPr>
          <w:t xml:space="preserve">Figure 2</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If all you care about is prediction, you don’t need gps. If you desire a more nuanced understanding of risk across a more diverse array of risk features than gps is helpful.</w:t>
      </w:r>
    </w:p>
    <w:p>
      <w:pPr>
        <w:numPr>
          <w:ilvl w:val="0"/>
          <w:numId w:val="1003"/>
        </w:numPr>
      </w:pPr>
      <w:r>
        <w:t xml:space="preserve">GPS may be better if we did not rely on only known locations but could passively contextualize locations. May be better with more robust sensing methods.</w:t>
      </w:r>
    </w:p>
    <w:p>
      <w:pPr>
        <w:numPr>
          <w:ilvl w:val="0"/>
          <w:numId w:val="1003"/>
        </w:numPr>
      </w:pPr>
      <w:r>
        <w:t xml:space="preserve">Overall, GPS didn’t hurt predictions but also didn’t add any value above and beyond daily surveys. Appears to overlap with EMA.</w:t>
      </w:r>
    </w:p>
    <w:p>
      <w:pPr>
        <w:numPr>
          <w:ilvl w:val="0"/>
          <w:numId w:val="1003"/>
        </w:numPr>
      </w:pPr>
      <w:r>
        <w:t xml:space="preserve">Daily surveys remain to be a feasible and predictive signal even when measured over a year.</w:t>
      </w:r>
    </w:p>
    <w:p>
      <w:pPr>
        <w:numPr>
          <w:ilvl w:val="0"/>
          <w:numId w:val="1003"/>
        </w:numPr>
      </w:pPr>
      <w:r>
        <w:t xml:space="preserve">Participants provided data for up to 12 months. This extended window of recovery (12 months vs. 3 months) is critical for evaluating the value of an algorithm intended for ongoing continuing care support and understanding how lapse risk evolves as people progress in their recovery (i.e., past 3 months).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are better suited for understanding the temporal dynamics of lapse risk over long periods of recovery.</w:t>
      </w:r>
    </w:p>
    <w:p>
      <w:pPr>
        <w:numPr>
          <w:ilvl w:val="0"/>
          <w:numId w:val="1003"/>
        </w:numPr>
      </w:pPr>
      <w:r>
        <w:t xml:space="preserve">The longer duration of participation also provides the opportunity to experiment with lagged prediction windows further than two weeks into the future (i.e., 1 month). However, in a machine learning framework, different models must be built to predict lapses at varying times in the future. For example, a recovery monitoring support system that detects both immediate lapse risk (i.e., in the next 24 hours) and future lapse risk (i.e, in the next 2 weeks and in the next month) would need three models. This approach is time consuming, cumbersome, and still only provides coarse understanding of time-course. Therefore, this study will only predict immediate lapse risk.</w:t>
      </w:r>
    </w:p>
    <w:bookmarkEnd w:id="77"/>
    <w:bookmarkStart w:id="113" w:name="references"/>
    <w:p>
      <w:pPr>
        <w:pStyle w:val="Heading1"/>
      </w:pPr>
      <w:r>
        <w:t xml:space="preserve">References</w:t>
      </w:r>
    </w:p>
    <w:bookmarkStart w:id="112"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4"/>
    <w:bookmarkStart w:id="8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5">
        <w:r>
          <w:rPr>
            <w:rStyle w:val="Hyperlink"/>
          </w:rPr>
          <w:t xml:space="preserve">https://doi.org/10.1016/j.drugalcdep.2006.05.012</w:t>
        </w:r>
      </w:hyperlink>
    </w:p>
    <w:bookmarkEnd w:id="86"/>
    <w:bookmarkStart w:id="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7">
        <w:r>
          <w:rPr>
            <w:rStyle w:val="Hyperlink"/>
          </w:rPr>
          <w:t xml:space="preserve">https://doi.org/10.1001/jamapsychiatry.2013.4642</w:t>
        </w:r>
      </w:hyperlink>
    </w:p>
    <w:bookmarkEnd w:id="88"/>
    <w:bookmarkStart w:id="8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9"/>
    <w:bookmarkStart w:id="9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0">
        <w:r>
          <w:rPr>
            <w:rStyle w:val="Hyperlink"/>
          </w:rPr>
          <w:t xml:space="preserve">https://doi.org/10.1001/jamanetworkopen.2020.5852</w:t>
        </w:r>
      </w:hyperlink>
    </w:p>
    <w:bookmarkEnd w:id="91"/>
    <w:bookmarkStart w:id="9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2"/>
    <w:bookmarkStart w:id="9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3"/>
    <w:bookmarkStart w:id="9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4">
        <w:r>
          <w:rPr>
            <w:rStyle w:val="Hyperlink"/>
          </w:rPr>
          <w:t xml:space="preserve">https://doi.org/10.1111/jrh.70076</w:t>
        </w:r>
      </w:hyperlink>
    </w:p>
    <w:bookmarkEnd w:id="95"/>
    <w:bookmarkStart w:id="9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96"/>
    <w:bookmarkStart w:id="98"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97">
        <w:r>
          <w:rPr>
            <w:rStyle w:val="Hyperlink"/>
          </w:rPr>
          <w:t xml:space="preserve">https://doi.org/10.1177/00333549211041554</w:t>
        </w:r>
      </w:hyperlink>
    </w:p>
    <w:bookmarkEnd w:id="98"/>
    <w:bookmarkStart w:id="10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9">
        <w:r>
          <w:rPr>
            <w:rStyle w:val="Hyperlink"/>
          </w:rPr>
          <w:t xml:space="preserve">https://doi.org/10.2196/29563</w:t>
        </w:r>
      </w:hyperlink>
    </w:p>
    <w:bookmarkEnd w:id="100"/>
    <w:bookmarkStart w:id="10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1">
        <w:r>
          <w:rPr>
            <w:rStyle w:val="Hyperlink"/>
          </w:rPr>
          <w:t xml:space="preserve">https://doi.org/10.1016/j.jsat.2021.108710</w:t>
        </w:r>
      </w:hyperlink>
    </w:p>
    <w:bookmarkEnd w:id="102"/>
    <w:bookmarkStart w:id="10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03">
        <w:r>
          <w:rPr>
            <w:rStyle w:val="Hyperlink"/>
          </w:rPr>
          <w:t xml:space="preserve">https://doi.org/10.1016/j.drugalcdep.2019.05.017</w:t>
        </w:r>
      </w:hyperlink>
    </w:p>
    <w:bookmarkEnd w:id="104"/>
    <w:bookmarkStart w:id="105"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05"/>
    <w:bookmarkStart w:id="1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6">
        <w:r>
          <w:rPr>
            <w:rStyle w:val="Hyperlink"/>
          </w:rPr>
          <w:t xml:space="preserve">https://doi.org/10.1016/j.landig.2025.100916</w:t>
        </w:r>
      </w:hyperlink>
    </w:p>
    <w:bookmarkEnd w:id="107"/>
    <w:bookmarkStart w:id="1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8">
        <w:r>
          <w:rPr>
            <w:rStyle w:val="Hyperlink"/>
          </w:rPr>
          <w:t xml:space="preserve">https://doi.org/10.1016/j.artmed.2020.101987</w:t>
        </w:r>
      </w:hyperlink>
    </w:p>
    <w:bookmarkEnd w:id="109"/>
    <w:bookmarkStart w:id="11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10">
        <w:r>
          <w:rPr>
            <w:rStyle w:val="Hyperlink"/>
          </w:rPr>
          <w:t xml:space="preserve">https://doi.org/10.1080/17441692.2023.2277854</w:t>
        </w:r>
      </w:hyperlink>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preview.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preview.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2026-03-16T17:42:29Z</dcterms:created>
  <dcterms:modified xsi:type="dcterms:W3CDTF">2026-03-16T17:42:29Z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2026-03-16</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