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2026-03-12</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Opioid use disorder</w:t>
      </w:r>
      <w:r>
        <w:t xml:space="preserve"> </w:t>
      </w:r>
      <w:r>
        <w:t xml:space="preserve">- Prevalence</w:t>
      </w:r>
      <w:r>
        <w:t xml:space="preserve"> </w:t>
      </w:r>
      <w:r>
        <w:t xml:space="preserve">- harms</w:t>
      </w:r>
      <w:r>
        <w:t xml:space="preserve"> </w:t>
      </w:r>
      <w:r>
        <w:t xml:space="preserve">- cost</w:t>
      </w:r>
      <w:r>
        <w:t xml:space="preserve"> </w:t>
      </w:r>
      <w:r>
        <w:t xml:space="preserve">- When also accounting for costs associated with loss of life and reduced quality of life, one research group estimated that in 2017 the cost of opioid use disorder alone exceeded $1 trillion (Florence et al., 2021).</w:t>
      </w:r>
    </w:p>
    <w:p>
      <w:pPr>
        <w:pStyle w:val="BodyText"/>
      </w:pPr>
      <w:r>
        <w:t xml:space="preserve">MOUD is efficacious.</w:t>
      </w:r>
    </w:p>
    <w:p>
      <w:pPr>
        <w:pStyle w:val="BodyText"/>
      </w:pPr>
      <w:r>
        <w:t xml:space="preserve">Lapses are still frequent even with MOUD maintenance and put individual at high risk of relapse and overdose.</w:t>
      </w:r>
    </w:p>
    <w:p>
      <w:pPr>
        <w:pStyle w:val="BodyText"/>
      </w:pPr>
      <w:r>
        <w:t xml:space="preserve">Relapse prevention constructs from literature associated with opioid lapse</w:t>
      </w:r>
      <w:r>
        <w:t xml:space="preserve"> </w:t>
      </w:r>
    </w:p>
    <w:p>
      <w:pPr>
        <w:pStyle w:val="BodyText"/>
      </w:pPr>
      <w:r>
        <w:t xml:space="preserve">Map onto EMA and GPS sensing features</w:t>
      </w:r>
    </w:p>
    <w:p>
      <w:pPr>
        <w:pStyle w:val="BodyText"/>
      </w:pPr>
      <w:r>
        <w:t xml:space="preserve">Prior related work</w:t>
      </w:r>
    </w:p>
    <w:p>
      <w:pPr>
        <w:pStyle w:val="BodyText"/>
      </w:pPr>
      <w:r>
        <w:t xml:space="preserve">Importance of predicting when and why someone is at risk</w:t>
      </w:r>
    </w:p>
    <w:p>
      <w:pPr>
        <w:pStyle w:val="BodyText"/>
      </w:pPr>
      <w:r>
        <w:t xml:space="preserve">Aims of study</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We attempted to improve calibration with Platt scaling and results were comparable (brier score = 0.014). A Calibration plot revealed that our raw model predictions were better aligned with observed lapse frequencies than the Platt-scaled scores across most of the probability range. At higher predicted probabilities (i.e., &gt; .75), the model exhibited high-variance estimates and therefore poor calibration, driven by very few observations in that bin (left panel of</w:t>
      </w:r>
      <w:r>
        <w:t xml:space="preserve"> </w:t>
      </w:r>
      <w:hyperlink w:anchor="fig-2">
        <w:r>
          <w:rPr>
            <w:rStyle w:val="Hyperlink"/>
          </w:rPr>
          <w:t xml:space="preserve">Figure 2</w:t>
        </w:r>
      </w:hyperlink>
      <w:r>
        <w:t xml:space="preserve">).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bookmarkEnd w:id="77"/>
    <w:bookmarkStart w:id="113" w:name="references"/>
    <w:p>
      <w:pPr>
        <w:pStyle w:val="Heading1"/>
      </w:pPr>
      <w:r>
        <w:t xml:space="preserve">References</w:t>
      </w:r>
    </w:p>
    <w:bookmarkStart w:id="112"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4"/>
    <w:bookmarkStart w:id="86"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5">
        <w:r>
          <w:rPr>
            <w:rStyle w:val="Hyperlink"/>
          </w:rPr>
          <w:t xml:space="preserve">https://doi.org/10.1016/j.drugalcdep.2006.05.012</w:t>
        </w:r>
      </w:hyperlink>
    </w:p>
    <w:bookmarkEnd w:id="86"/>
    <w:bookmarkStart w:id="88"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7">
        <w:r>
          <w:rPr>
            <w:rStyle w:val="Hyperlink"/>
          </w:rPr>
          <w:t xml:space="preserve">https://doi.org/10.1001/jamapsychiatry.2013.4642</w:t>
        </w:r>
      </w:hyperlink>
    </w:p>
    <w:bookmarkEnd w:id="88"/>
    <w:bookmarkStart w:id="8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89"/>
    <w:bookmarkStart w:id="9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0">
        <w:r>
          <w:rPr>
            <w:rStyle w:val="Hyperlink"/>
          </w:rPr>
          <w:t xml:space="preserve">https://doi.org/10.1001/jamanetworkopen.2020.5852</w:t>
        </w:r>
      </w:hyperlink>
    </w:p>
    <w:bookmarkEnd w:id="91"/>
    <w:bookmarkStart w:id="9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2"/>
    <w:bookmarkStart w:id="9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93"/>
    <w:bookmarkStart w:id="9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94">
        <w:r>
          <w:rPr>
            <w:rStyle w:val="Hyperlink"/>
          </w:rPr>
          <w:t xml:space="preserve">https://doi.org/10.1111/jrh.70076</w:t>
        </w:r>
      </w:hyperlink>
    </w:p>
    <w:bookmarkEnd w:id="95"/>
    <w:bookmarkStart w:id="9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96"/>
    <w:bookmarkStart w:id="98"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97">
        <w:r>
          <w:rPr>
            <w:rStyle w:val="Hyperlink"/>
          </w:rPr>
          <w:t xml:space="preserve">https://doi.org/10.1177/00333549211041554</w:t>
        </w:r>
      </w:hyperlink>
    </w:p>
    <w:bookmarkEnd w:id="98"/>
    <w:bookmarkStart w:id="10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99">
        <w:r>
          <w:rPr>
            <w:rStyle w:val="Hyperlink"/>
          </w:rPr>
          <w:t xml:space="preserve">https://doi.org/10.2196/29563</w:t>
        </w:r>
      </w:hyperlink>
    </w:p>
    <w:bookmarkEnd w:id="100"/>
    <w:bookmarkStart w:id="10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01">
        <w:r>
          <w:rPr>
            <w:rStyle w:val="Hyperlink"/>
          </w:rPr>
          <w:t xml:space="preserve">https://doi.org/10.1016/j.jsat.2021.108710</w:t>
        </w:r>
      </w:hyperlink>
    </w:p>
    <w:bookmarkEnd w:id="102"/>
    <w:bookmarkStart w:id="10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03">
        <w:r>
          <w:rPr>
            <w:rStyle w:val="Hyperlink"/>
          </w:rPr>
          <w:t xml:space="preserve">https://doi.org/10.1016/j.drugalcdep.2019.05.017</w:t>
        </w:r>
      </w:hyperlink>
    </w:p>
    <w:bookmarkEnd w:id="104"/>
    <w:bookmarkStart w:id="105"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05"/>
    <w:bookmarkStart w:id="1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06">
        <w:r>
          <w:rPr>
            <w:rStyle w:val="Hyperlink"/>
          </w:rPr>
          <w:t xml:space="preserve">https://doi.org/10.1016/j.landig.2025.100916</w:t>
        </w:r>
      </w:hyperlink>
    </w:p>
    <w:bookmarkEnd w:id="107"/>
    <w:bookmarkStart w:id="1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08">
        <w:r>
          <w:rPr>
            <w:rStyle w:val="Hyperlink"/>
          </w:rPr>
          <w:t xml:space="preserve">https://doi.org/10.1016/j.artmed.2020.101987</w:t>
        </w:r>
      </w:hyperlink>
    </w:p>
    <w:bookmarkEnd w:id="109"/>
    <w:bookmarkStart w:id="111"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10">
        <w:r>
          <w:rPr>
            <w:rStyle w:val="Hyperlink"/>
          </w:rPr>
          <w:t xml:space="preserve">https://doi.org/10.1080/17441692.2023.2277854</w:t>
        </w:r>
      </w:hyperlink>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87" Target="https://doi.org/10.1001/jamapsychiatry.2013.4642" TargetMode="External" /><Relationship Type="http://schemas.openxmlformats.org/officeDocument/2006/relationships/hyperlink" Id="rId108" Target="https://doi.org/10.1016/j.artmed.2020.101987" TargetMode="External" /><Relationship Type="http://schemas.openxmlformats.org/officeDocument/2006/relationships/hyperlink" Id="rId85"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101" Target="https://doi.org/10.1016/j.jsat.2021.108710" TargetMode="External" /><Relationship Type="http://schemas.openxmlformats.org/officeDocument/2006/relationships/hyperlink" Id="rId106" Target="https://doi.org/10.1016/j.landig.2025.100916" TargetMode="External" /><Relationship Type="http://schemas.openxmlformats.org/officeDocument/2006/relationships/hyperlink" Id="rId110" Target="https://doi.org/10.1080/17441692.2023.2277854" TargetMode="External" /><Relationship Type="http://schemas.openxmlformats.org/officeDocument/2006/relationships/hyperlink" Id="rId9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97"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2026-03-13T01:39:21Z</dcterms:created>
  <dcterms:modified xsi:type="dcterms:W3CDTF">2026-03-13T01:39:21Z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2026-03-12</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