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2026-03-11</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(i.e., &gt; .75), the model exhibited high-variance estimates and therefore poor calibration, driven by very few observations in that bin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Feature importance values can also be aggregated across all participants and all observations to provide a relative rank ordering of the most important features. A traditional mean absolute Shapley value approach revealed the most important features (i.e., largest magnitude of contribution to the prediction) to be differences in past opioid use.</w:t>
      </w:r>
    </w:p>
    <w:p>
      <w:pPr>
        <w:pStyle w:val="BodyText"/>
      </w:pPr>
      <w:r>
        <w:t xml:space="preserve">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p>
      <w:pPr>
        <w:pStyle w:val="BodyText"/>
      </w:pPr>
      <w:r>
        <w:t xml:space="preserve">For brevity, we are only displaying the top 30 (out of 186)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2026-03-11T20:40:38Z</dcterms:created>
  <dcterms:modified xsi:type="dcterms:W3CDTF">2026-03-11T20:40:38Z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2026-03-11</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