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2025-12-29</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 Finally,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increased repetitions in our cross-validation to mitigate optimization bias and provide generalizable performance estimates.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matched to Rural-Urban Commuting Area (RUCA) codes to identify whether individuals resided in rural or urban areas</w:t>
      </w:r>
      <w:r>
        <w:t xml:space="preserve"> </w:t>
      </w:r>
      <w:r>
        <w:t xml:space="preserve">. 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forward-facing items that asked about participants’ motivation and confidence to continue to avoid using opioids for nonmedical reasons over the next week.</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engineered from two types of data:</w:t>
      </w:r>
    </w:p>
    <w:p>
      <w:pPr>
        <w:numPr>
          <w:ilvl w:val="0"/>
          <w:numId w:val="1003"/>
        </w:numPr>
      </w:pPr>
      <w:r>
        <w:t xml:space="preserve">Static individual differences in demographic and OUD characteristics.</w:t>
      </w:r>
    </w:p>
    <w:p>
      <w:pPr>
        <w:numPr>
          <w:ilvl w:val="0"/>
          <w:numId w:val="1003"/>
        </w:numPr>
      </w:pPr>
      <w:r>
        <w:t xml:space="preserve">Dynamic EMA and geolocation sensing data.</w:t>
      </w:r>
    </w:p>
    <w:p>
      <w:pPr>
        <w:pStyle w:val="Compact"/>
        <w:numPr>
          <w:ilvl w:val="0"/>
          <w:numId w:val="1004"/>
        </w:numPr>
      </w:pPr>
      <w:r>
        <w:t xml:space="preserve">geolocation - within 50 meters of a known location</w:t>
      </w:r>
    </w:p>
    <w:p>
      <w:pPr>
        <w:pStyle w:val="FirstParagraph"/>
      </w:pPr>
      <w:r>
        <w:t xml:space="preserve">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r>
        <w:t xml:space="preserve"> </w:t>
      </w:r>
    </w:p>
    <w:bookmarkEnd w:id="32"/>
    <w:bookmarkStart w:id="33" w:name="prediction-windows-and-labels"/>
    <w:p>
      <w:pPr>
        <w:pStyle w:val="Heading3"/>
      </w:pPr>
      <w:r>
        <w:t xml:space="preserve">Prediction Windows and Labels</w:t>
      </w:r>
    </w:p>
    <w:p>
      <w:pPr>
        <w:pStyle w:val="Compact"/>
        <w:numPr>
          <w:ilvl w:val="0"/>
          <w:numId w:val="1005"/>
        </w:numPr>
      </w:pPr>
      <w:r>
        <w:t xml:space="preserve">Window starts 6am in participants own timezone (derived from gps)</w:t>
      </w:r>
    </w:p>
    <w:bookmarkEnd w:id="33"/>
    <w:bookmarkStart w:id="34"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6"/>
        </w:numPr>
      </w:pPr>
      <w:r>
        <w:t xml:space="preserve">Statistical algorithm (and hyperparameter tuning)</w:t>
      </w:r>
    </w:p>
    <w:p>
      <w:pPr>
        <w:numPr>
          <w:ilvl w:val="0"/>
          <w:numId w:val="1006"/>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4"/>
    <w:bookmarkStart w:id="35"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7"/>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(rural vs. urban), and education (high school or less vs. some college). We conducted Bayesian group comparisons to assess the likelihood that each model performs differently by group.</w:t>
      </w:r>
    </w:p>
    <w:p>
      <w:pPr>
        <w:pStyle w:val="Compact"/>
        <w:numPr>
          <w:ilvl w:val="0"/>
          <w:numId w:val="1008"/>
        </w:numPr>
      </w:pPr>
      <w:r>
        <w:t xml:space="preserve">Gender, race/ethnicity, education, income, and geographic location are used for our fariness subgroup analyses. As defined above we defined urban as RUCA code of 1 and rural as RUCA codes 2-10. Given that there is not a clear consensus on delineating urban vs. rural, however, we also report a fairness model comparison for urban as RUCA codes 1-2 and urban as RUCA coddes 3-10 in the supplement.</w:t>
      </w:r>
    </w:p>
    <w:bookmarkEnd w:id="35"/>
    <w:bookmarkStart w:id="36"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6"/>
    <w:bookmarkStart w:id="37" w:name="feature-importance"/>
    <w:p>
      <w:pPr>
        <w:pStyle w:val="Heading3"/>
      </w:pPr>
      <w:r>
        <w:t xml:space="preserve">Feature Importance</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4"/>
    <w:bookmarkStart w:id="50"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9"/>
        </w:tc>
      </w:tr>
    </w:tbl>
    <w:bookmarkEnd w:id="50"/>
    <w:bookmarkStart w:id="55"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809999"/>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9"/>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9"/>
        </w:numPr>
      </w:pPr>
      <w:r>
        <w:t xml:space="preserve">When discussing fairness - we don’t look at age. People over 65 is an important group to look at but they were not in our sample</w:t>
      </w:r>
    </w:p>
    <w:p>
      <w:pPr>
        <w:numPr>
          <w:ilvl w:val="0"/>
          <w:numId w:val="1009"/>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86" w:name="references"/>
    <w:p>
      <w:pPr>
        <w:pStyle w:val="Heading1"/>
      </w:pPr>
      <w:r>
        <w:t xml:space="preserve">References</w:t>
      </w:r>
    </w:p>
    <w:bookmarkStart w:id="85"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3"/>
    <w:bookmarkStart w:id="7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4"/>
    <w:bookmarkStart w:id="7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5"/>
    <w:bookmarkStart w:id="77"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6">
        <w:r>
          <w:rPr>
            <w:rStyle w:val="Hyperlink"/>
          </w:rPr>
          <w:t xml:space="preserve">https://doi.org/10.1097/00005650-198601000-00007</w:t>
        </w:r>
      </w:hyperlink>
    </w:p>
    <w:bookmarkEnd w:id="77"/>
    <w:bookmarkStart w:id="7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8">
        <w:r>
          <w:rPr>
            <w:rStyle w:val="Hyperlink"/>
          </w:rPr>
          <w:t xml:space="preserve">https://doi.org/10.2196/29563</w:t>
        </w:r>
      </w:hyperlink>
    </w:p>
    <w:bookmarkEnd w:id="79"/>
    <w:bookmarkStart w:id="81"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0">
        <w:r>
          <w:rPr>
            <w:rStyle w:val="Hyperlink"/>
          </w:rPr>
          <w:t xml:space="preserve">https://doi.org/10.1016/j.artmed.2020.101987</w:t>
        </w:r>
      </w:hyperlink>
    </w:p>
    <w:bookmarkEnd w:id="81"/>
    <w:bookmarkStart w:id="82"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2"/>
    <w:bookmarkStart w:id="8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3">
        <w:r>
          <w:rPr>
            <w:rStyle w:val="Hyperlink"/>
          </w:rPr>
          <w:t xml:space="preserve">https://doi.org/10.31234/osf.io/cgsf7</w:t>
        </w:r>
      </w:hyperlink>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2025-12-30T02:18:59Z</dcterms:created>
  <dcterms:modified xsi:type="dcterms:W3CDTF">2025-12-30T02:18:59Z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2025-12-29</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