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2026-06-16</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what their lapse risk is and why).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0"/>
    <w:bookmarkStart w:id="32"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27"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26"/>
      </w:r>
      <w:r>
        <w:t xml:space="preserve"> </w:t>
      </w:r>
      <w:r>
        <w:t xml:space="preserve">We conducted Bayesian group comparisons to assess the likelihood that each model performs differently by group.</w:t>
      </w:r>
    </w:p>
    <w:bookmarkEnd w:id="27"/>
    <w:bookmarkStart w:id="28"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28"/>
    <w:bookmarkEnd w:id="29"/>
    <w:bookmarkStart w:id="3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0"/>
    <w:bookmarkEnd w:id="31"/>
    <w:bookmarkEnd w:id="32"/>
    <w:bookmarkStart w:id="66" w:name="results"/>
    <w:p>
      <w:pPr>
        <w:pStyle w:val="Heading1"/>
      </w:pPr>
      <w:r>
        <w:t xml:space="preserve">Results</w:t>
      </w:r>
    </w:p>
    <w:bookmarkStart w:id="3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3"/>
      </w:r>
      <w:r>
        <w:t xml:space="preserve"> </w:t>
      </w:r>
      <w:r>
        <w:t xml:space="preserve">Of these 330, 14 were excluded for not providing at least 28 days of EMA data with acceptable adherence</w:t>
      </w:r>
      <w:r>
        <w:rPr>
          <w:rStyle w:val="FootnoteReference"/>
        </w:rPr>
        <w:footnoteReference w:id="3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8"/>
    <w:bookmarkStart w:id="4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notebooks-mak_figures-fig-1-output-2.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w:t>
        </w:r>
      </w:hyperlink>
    </w:p>
    <w:bookmarkEnd w:id="46"/>
    <w:bookmarkStart w:id="5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7"/>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334000" cy="6096000"/>
                  <wp:effectExtent b="0" l="0" r="0" t="0"/>
                  <wp:docPr descr="" title="" id="49" name="Picture"/>
                  <a:graphic>
                    <a:graphicData uri="http://schemas.openxmlformats.org/drawingml/2006/picture">
                      <pic:pic>
                        <pic:nvPicPr>
                          <pic:cNvPr descr="index_files/figure-docx/notebooks-mak_figures-fig-2-output-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w:t>
        </w:r>
      </w:hyperlink>
    </w:p>
    <w:bookmarkEnd w:id="53"/>
    <w:bookmarkStart w:id="6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49"/>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bookmarkEnd w:id="57"/>
          </w:p>
          <w:p>
            <w:pPr>
              <w:jc w:val="center"/>
            </w:pPr>
            <w:pPr>
              <w:jc w:val="left"/>
              <w:spacing w:before="200"/>
              <w:pStyle w:val="ImageCaption"/>
            </w:pPr>
            <w:r>
              <w:t xml:space="preserve">Figure 3</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w:t>
        </w:r>
      </w:hyperlink>
    </w:p>
    <w:p>
      <w:pPr>
        <w:pStyle w:val="BodyText"/>
      </w:pPr>
      <w:r>
        <w:t xml:space="preserve">To understand how each feature category influenced lapse risk predictions, we plotted Shapley value–based partial dependence plots for the top 20 feature categories (</w:t>
      </w:r>
      <w:hyperlink w:anchor="fig-4">
        <w:r>
          <w:rPr>
            <w:rStyle w:val="Hyperlink"/>
          </w:rPr>
          <w:t xml:space="preserve">Figure 4</w:t>
        </w:r>
      </w:hyperlink>
      <w:r>
        <w:t xml:space="preserve">; plots for all feature categories are provided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harmful, pleasant, or unpleasant locations, less time at places where religious activities are performed, less location variance, fewer reported risky situations, and lower urges, anger, or abstinence confidence). A value of zero indicates no deviation from baseline. Positive values indicate that the score is above the individual’s typical level (e.g., more substance use, more time in helpful, harmful, pleasant, or unpleasant locations, more time at places where religious activities are performed, more location variance, more reported risky situations, and higher urges, anger, or abstinence confidence). For demographic features, values correspond to ordered categories. Lower values indicate younger age and more urban geography, whereas higher values indicate older age and more rural geography.</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their baseline). While, there was only a modest increase in lapse risk when positive differences in stimulant use were observed, compared to individuals who did not use any stimulants while on study, the raw stimulant use feature category (see supplement) showed a clear linear relationship of stimulant use with lapse risk.</w:t>
      </w:r>
    </w:p>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Figures</w:t>
        </w:r>
      </w:hyperlink>
    </w:p>
    <w:bookmarkEnd w:id="65"/>
    <w:bookmarkEnd w:id="66"/>
    <w:bookmarkStart w:id="72" w:name="discussion"/>
    <w:p>
      <w:pPr>
        <w:pStyle w:val="Heading1"/>
      </w:pPr>
      <w:r>
        <w:t xml:space="preserve">Discussion</w:t>
      </w:r>
    </w:p>
    <w:bookmarkStart w:id="67"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7"/>
    <w:bookmarkStart w:id="68"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8"/>
    <w:bookmarkStart w:id="69"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use of one substance could trigger many of the cognitive and physiological processes associated with opioid use.</w:t>
      </w:r>
      <w:r>
        <w:t xml:space="preserve"> </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An unexpected finding, was that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whose relationship to religion and these locations may not generalize more broadly. Nevertheless, this feature did emerge as the 7th most important feature category, making it a worthwhile area to explore in future studies.</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26">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2026-06-16T20:51:09Z</dcterms:created>
  <dcterms:modified xsi:type="dcterms:W3CDTF">2026-06-16T20:51:09Z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2026-06-16</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