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1.png" ContentType="image/png"/>
  <Override PartName="/word/media/rId57.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2026-09-17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 USD</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r>
        <w:t xml:space="preserve"> </w:t>
      </w:r>
      <w:r>
        <w:t xml:space="preserve">(Dowell et al., 2024; Novak et al., 2019)</w:t>
      </w:r>
      <w:r>
        <w:t xml:space="preserve">.</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w:t>
      </w:r>
      <w:r>
        <w:t xml:space="preserve">and, as such, requires long-term support. Yet among the minority of individuals who do initiate treatment, engagement is often brief and episodic with many individuals terminating treatment early</w:t>
      </w:r>
      <w:r>
        <w:t xml:space="preserve"> </w:t>
      </w:r>
      <w:r>
        <w:t xml:space="preserve">(Gryczynski et al., 2014)</w:t>
      </w:r>
      <w:r>
        <w:t xml:space="preserve">.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instead reflects the challenges of managing any chronic condition without adequate continuing care.</w:t>
      </w:r>
    </w:p>
    <w:p>
      <w:pPr>
        <w:pStyle w:val="BodyText"/>
      </w:pPr>
      <w:r>
        <w:t xml:space="preserve">As in other healthcare domains, disparities in both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Minoritized groups, such as racial, ethnic, and sexual and gender minorities may experience additional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w:t>
      </w:r>
      <w:r>
        <w:t xml:space="preserve"> </w:t>
      </w:r>
      <w:r>
        <w:t xml:space="preserve">(Skolnick et al., 2024; Strang et al., 2003)</w:t>
      </w:r>
      <w:r>
        <w:t xml:space="preserve">. Identifying vulnerable periods of high lapse risk and contextualizing that risk (i.e.,</w:t>
      </w:r>
      <w:r>
        <w:t xml:space="preserve"> </w:t>
      </w:r>
      <w:r>
        <w:rPr>
          <w:i/>
          <w:iCs/>
        </w:rPr>
        <w:t xml:space="preserve">why</w:t>
      </w:r>
      <w:r>
        <w:t xml:space="preserve"> </w:t>
      </w:r>
      <w:r>
        <w:t xml:space="preserve">risk is high) could enable individuals to take targeted, proactive action to prevent lapse (e.g., using behavioral interventions learned in treatment for a specific risk context).</w:t>
      </w:r>
    </w:p>
    <w:p>
      <w:pPr>
        <w:pStyle w:val="BodyText"/>
      </w:pPr>
      <w:r>
        <w:t xml:space="preserve">However, lapse risk is highly heterogeneous. Risk factors differ across individuals and within individuals over time.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w:t>
      </w:r>
      <w:r>
        <w:t xml:space="preserve"> </w:t>
      </w:r>
      <w:r>
        <w:t xml:space="preserve">Rajkomar et al. (2018)</w:t>
      </w:r>
      <w:r>
        <w:t xml:space="preserv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enabled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Participants were shown how to download the Smart Technology for Addiction Recovery (STAR) study app, provided a set of video tutorials to learn how to use the app, and instructed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Additional trait and state measures were collected as part of the aims of the parent grant.</w:t>
      </w:r>
      <w:r>
        <w:t xml:space="preserve"> </w:t>
      </w:r>
      <w:r>
        <w:t xml:space="preserve"> </w:t>
      </w:r>
      <w:r>
        <w:t xml:space="preserve">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remained available for 24 hours.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Participants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available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r>
        <w:t xml:space="preserve"> </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encoded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encoded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Table S1 in the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 Final candidate model configurations differed across sensible values for key hyperparameters.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w:t>
      </w:r>
      <w:r>
        <w:t xml:space="preserve"> </w:t>
      </w:r>
      <w:r>
        <w:t xml:space="preserve">(Dormann, 2020)</w:t>
      </w:r>
      <w:r>
        <w:t xml:space="preserve">. For example, a well-calibrated model that assigns a 30% lapse risk prediction should observe lapses in approximately 30% of such cases. We provided a calibration plot of the raw predicted probabilities reported Brier scores to characterize overall performance. Brier scores are the mean squared difference between the predicted probabilities and observed outcome and range from 0 (perfect accuracy) to 1 (perfect inaccuracy). We also provided histograms of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individual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8"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Data were stratified across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consistent irrespective to a participant’s time in recovery (1-18+ months; a plot of auROC by month in recovery is available in Figure S1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0.96).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0.92 - 0.95 (</w:t>
      </w:r>
      <w:hyperlink w:anchor="fig-1">
        <w:r>
          <w:rPr>
            <w:rStyle w:val="Hyperlink"/>
          </w:rPr>
          <w:t xml:space="preserve">Figure 1</w:t>
        </w:r>
      </w:hyperlink>
      <w:r>
        <w:t xml:space="preserve">). A table of fairness subgroup comparisons is available in Table S2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6"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This model produced well-calibrated predicted probability scores (brier score = 0.014;</w:t>
      </w:r>
      <w:r>
        <w:t xml:space="preserve"> </w:t>
      </w:r>
      <w:hyperlink w:anchor="fig-2">
        <w:r>
          <w:rPr>
            <w:rStyle w:val="Hyperlink"/>
          </w:rPr>
          <w:t xml:space="preserve">Figure 2</w:t>
        </w:r>
      </w:hyperlink>
      <w:r>
        <w:t xml:space="preserve">). Histograms of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6096000"/>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left panel presents a calibration plot of raw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The rug plots along the x-axis depicts the observation frequency in each bin for the raw probabilities. The right panel presents histograms of raw risk probability distributions separately by true lapse outcome.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7" w:name="feature-importance-1"/>
    <w:p>
      <w:pPr>
        <w:pStyle w:val="Heading2"/>
      </w:pPr>
      <w:r>
        <w:t xml:space="preserve">Feature Importance</w:t>
      </w:r>
    </w:p>
    <w:p>
      <w:pPr>
        <w:pStyle w:val="FirstParagraph"/>
      </w:pPr>
      <w:r>
        <w:t xml:space="preserve">Individual Shapley values were aggregated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All possible feature categories are provided in Figure S2 in the supplement.</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past stimulant use, differences in intensity of recent past pleasant events,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r>
              <w:drawing>
                <wp:inline>
                  <wp:extent cx="5334000" cy="3333749"/>
                  <wp:effectExtent b="0" l="0" r="0" t="0"/>
                  <wp:docPr descr="" title="" id="58" name="Picture"/>
                  <a:graphic>
                    <a:graphicData uri="http://schemas.openxmlformats.org/drawingml/2006/picture">
                      <pic:pic>
                        <pic:nvPicPr>
                          <pic:cNvPr descr="index_files/figure-docx/notebooks-mak_figures-fig-3-output-1.png" id="59" name="Picture"/>
                          <pic:cNvPicPr>
                            <a:picLocks noChangeArrowheads="1" noChangeAspect="1"/>
                          </pic:cNvPicPr>
                        </pic:nvPicPr>
                        <pic:blipFill>
                          <a:blip r:embed="rId5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Figures</w:t>
        </w:r>
      </w:hyperlink>
    </w:p>
    <w:p>
      <w:pPr>
        <w:pStyle w:val="BodyText"/>
      </w:pPr>
      <w:r>
        <w:t xml:space="preserve">To understand how each feature category influenced lapse risk predictions, we plotted Shapley-value–based partial dependence plots for the top 20 feature categories (</w:t>
      </w:r>
      <w:hyperlink w:anchor="fig-4">
        <w:r>
          <w:rPr>
            <w:rStyle w:val="Hyperlink"/>
          </w:rPr>
          <w:t xml:space="preserve">Figure 4</w:t>
        </w:r>
      </w:hyperlink>
      <w:r>
        <w:t xml:space="preserve">; plots for all feature categories are provided in Figure S3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or harmful locations, less time at places where religious activities are performed, less location variance, and lower urges or abstinence confidence). A value of zero indicates no deviation from baseline. Positive values indicate that the score is above the individual’s typical level (e.g., more substance use, more time in helpful or harmful locations, more time at places where religious activities are performed, more location variance, and higher urges or abstinence confidence). For demographic features, values correspond to ordered categories. For example, lower values indicate younger age and lower income, and higher values indicate older age and higher income.</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baseline). While, there was only a modest increase in lapse risk when positive differences in stimulant use were observed, compared to individuals who did not use any stimulants while on study, the raw stimulant use feature category showed a clear linear relationship of stimulant use with lapse risk (see Figure S3 in the Supplement).</w:t>
      </w:r>
    </w:p>
    <w:tbl>
      <w:tblPr>
        <w:tblStyle w:val="Table"/>
        <w:tblW w:type="pct" w:w="5000"/>
        <w:tblLayout w:type="fixed"/>
        <w:tblLook w:firstRow="0" w:lastRow="0" w:firstColumn="0" w:lastColumn="0" w:noHBand="0" w:noVBand="0" w:val="0000"/>
      </w:tblPr>
      <w:tblGrid>
        <w:gridCol w:w="7920"/>
      </w:tblGrid>
      <w:tr>
        <w:tc>
          <w:tcPr/>
          <w:bookmarkStart w:id="65" w:name="fig-4"/>
          <w:p>
            <w:pPr>
              <w:pStyle w:val="Compact"/>
              <w:jc w:val="center"/>
            </w:pPr>
            <w:r>
              <w:drawing>
                <wp:inline>
                  <wp:extent cx="5334000" cy="7467600"/>
                  <wp:effectExtent b="0" l="0" r="0" t="0"/>
                  <wp:docPr descr="" title="" id="63" name="Picture"/>
                  <a:graphic>
                    <a:graphicData uri="http://schemas.openxmlformats.org/drawingml/2006/picture">
                      <pic:pic>
                        <pic:nvPicPr>
                          <pic:cNvPr descr="index_files/figure-docx/notebooks-mak_figures-fig-4-output-1.png" id="64" name="Picture"/>
                          <pic:cNvPicPr>
                            <a:picLocks noChangeArrowheads="1" noChangeAspect="1"/>
                          </pic:cNvPicPr>
                        </pic:nvPicPr>
                        <pic:blipFill>
                          <a:blip r:embed="rId62"/>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Figures</w:t>
        </w:r>
      </w:hyperlink>
    </w:p>
    <w:bookmarkEnd w:id="67"/>
    <w:bookmarkEnd w:id="68"/>
    <w:bookmarkStart w:id="74" w:name="discussion"/>
    <w:p>
      <w:pPr>
        <w:pStyle w:val="Heading1"/>
      </w:pPr>
      <w:r>
        <w:t xml:space="preserve">Discussion</w:t>
      </w:r>
    </w:p>
    <w:bookmarkStart w:id="69"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outstanding performance</w:t>
      </w:r>
      <w:r>
        <w:t xml:space="preserve"> </w:t>
      </w:r>
      <w:r>
        <w:t xml:space="preserve">(Mandrekar, 2010)</w:t>
      </w:r>
      <w:r>
        <w:t xml:space="preserv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69"/>
    <w:bookmarkStart w:id="70"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w:t>
      </w:r>
    </w:p>
    <w:p>
      <w:pPr>
        <w:pStyle w:val="BodyText"/>
      </w:pPr>
      <w:r>
        <w:t xml:space="preserve">It is possible that the relatively low predictive value of geolocation sensing in this study was due to methodological limitations. 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0"/>
    <w:bookmarkStart w:id="71"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evenings out).</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Unexpectedly,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relationship to religion and these locations may not generalize more broadly. Nevertheless, this feature did emerge as the 7th most important feature category, making it a worthwhile area to explore in future studies.</w:t>
      </w:r>
    </w:p>
    <w:bookmarkEnd w:id="71"/>
    <w:bookmarkStart w:id="72"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In fact, it would not be surprising if compensation did play at least a minor role in these findings, given the support for contingency management in promoting both treatment adherence and abstinence</w:t>
      </w:r>
      <w:r>
        <w:t xml:space="preserve"> </w:t>
      </w:r>
      <w:r>
        <w:t xml:space="preserve">(Bolívar et al., 2021)</w:t>
      </w:r>
      <w:r>
        <w:t xml:space="preserve">. However, participants received no additional direct benefit beyond financial compensation. In real-world implementations, individuals may be more motivated to share data if doing so enables personalized recovery support as providing ongoing compensation, regardless of proven benefits seen in clinical practice, would likely be prohibitive at-scale.</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2"/>
    <w:bookmarkStart w:id="73"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Our machine learning model, trained on a national clinical sample of individuals with OUD, is a promising step toward future real-world implementation and evaluation.</w:t>
      </w:r>
    </w:p>
    <w:bookmarkEnd w:id="73"/>
    <w:bookmarkEnd w:id="74"/>
    <w:bookmarkStart w:id="181" w:name="references"/>
    <w:p>
      <w:pPr>
        <w:pStyle w:val="Heading1"/>
      </w:pPr>
      <w:r>
        <w:t xml:space="preserve">References</w:t>
      </w:r>
    </w:p>
    <w:bookmarkStart w:id="180" w:name="refs"/>
    <w:bookmarkStart w:id="75"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5"/>
    <w:bookmarkStart w:id="77" w:name="Xa2783e01b74cc82fbd64a60d68d8867046112c3"/>
    <w:p>
      <w:pPr>
        <w:pStyle w:val="Bibliography"/>
      </w:pPr>
      <w:r>
        <w:t xml:space="preserve">Bolívar, H. A., Klemperer, E. M., Coleman, S. R. M., DeSarno, M., Skelly, J. M., &amp; Higgins, S. T. (2021). Contingency</w:t>
      </w:r>
      <w:r>
        <w:t xml:space="preserve"> </w:t>
      </w:r>
      <w:r>
        <w:t xml:space="preserve">Management</w:t>
      </w:r>
      <w:r>
        <w:t xml:space="preserve"> </w:t>
      </w:r>
      <w:r>
        <w:t xml:space="preserve">for</w:t>
      </w:r>
      <w:r>
        <w:t xml:space="preserve"> </w:t>
      </w:r>
      <w:r>
        <w:t xml:space="preserve">Patients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 </w:t>
      </w:r>
      <w:r>
        <w:t xml:space="preserve">and</w:t>
      </w:r>
      <w:r>
        <w:t xml:space="preserve"> </w:t>
      </w:r>
      <w:r>
        <w:t xml:space="preserve">Meta-analysis</w:t>
      </w:r>
      <w:r>
        <w:t xml:space="preserve">.</w:t>
      </w:r>
      <w:r>
        <w:t xml:space="preserve"> </w:t>
      </w:r>
      <w:r>
        <w:rPr>
          <w:i/>
          <w:iCs/>
        </w:rPr>
        <w:t xml:space="preserve">JAMA Psychiatry</w:t>
      </w:r>
      <w:r>
        <w:t xml:space="preserve">,</w:t>
      </w:r>
      <w:r>
        <w:t xml:space="preserve"> </w:t>
      </w:r>
      <w:r>
        <w:rPr>
          <w:i/>
          <w:iCs/>
        </w:rPr>
        <w:t xml:space="preserve">78</w:t>
      </w:r>
      <w:r>
        <w:t xml:space="preserve">(10), 1092–1102.</w:t>
      </w:r>
      <w:r>
        <w:t xml:space="preserve"> </w:t>
      </w:r>
      <w:hyperlink r:id="rId76">
        <w:r>
          <w:rPr>
            <w:rStyle w:val="Hyperlink"/>
          </w:rPr>
          <w:t xml:space="preserve">https://doi.org/10.1001/jamapsychiatry.2021.1969</w:t>
        </w:r>
      </w:hyperlink>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7" w:name="Xd9666037eeab86394cda3df1ab243232c191db9"/>
    <w:p>
      <w:pPr>
        <w:pStyle w:val="Bibliography"/>
      </w:pPr>
      <w:r>
        <w:t xml:space="preserve">Dormann, C. (2020). Calibration of probability predictions from machine-learning and statistical models.</w:t>
      </w:r>
      <w:r>
        <w:t xml:space="preserve"> </w:t>
      </w:r>
      <w:r>
        <w:rPr>
          <w:i/>
          <w:iCs/>
        </w:rPr>
        <w:t xml:space="preserve">Global Ecology and Biogeography</w:t>
      </w:r>
      <w:r>
        <w:t xml:space="preserve">,</w:t>
      </w:r>
      <w:r>
        <w:t xml:space="preserve"> </w:t>
      </w:r>
      <w:r>
        <w:rPr>
          <w:i/>
          <w:iCs/>
        </w:rPr>
        <w:t xml:space="preserve">29</w:t>
      </w:r>
      <w:r>
        <w:t xml:space="preserve">, 760–765.</w:t>
      </w:r>
      <w:r>
        <w:t xml:space="preserve"> </w:t>
      </w:r>
      <w:hyperlink r:id="rId86">
        <w:r>
          <w:rPr>
            <w:rStyle w:val="Hyperlink"/>
          </w:rPr>
          <w:t xml:space="preserve">https://doi.org/10.1111/geb.13070</w:t>
        </w:r>
      </w:hyperlink>
    </w:p>
    <w:bookmarkEnd w:id="87"/>
    <w:bookmarkStart w:id="89" w:name="ref-dowellTreatmentOpioidUse2024"/>
    <w:p>
      <w:pPr>
        <w:pStyle w:val="Bibliography"/>
      </w:pPr>
      <w:r>
        <w:t xml:space="preserve">Dowell, D., Brown, S., Gyawali, S., Hoenig, J., Ko, J., Mikosz, C., Ussery, E., Baldwin, G., Jones, C. M., Olsen, Y., Tomoyasu, N., Han, B., Compton, W. M., &amp; Volkow, N. D. (2024). Treatment for</w:t>
      </w:r>
      <w:r>
        <w:t xml:space="preserve"> </w:t>
      </w:r>
      <w:r>
        <w:t xml:space="preserve">Opioid Use Disorder</w:t>
      </w:r>
      <w:r>
        <w:t xml:space="preserve">:</w:t>
      </w:r>
      <w:r>
        <w:t xml:space="preserve"> </w:t>
      </w:r>
      <w:r>
        <w:t xml:space="preserve">Population Estimates</w:t>
      </w:r>
      <w:r>
        <w:t xml:space="preserve"> </w:t>
      </w:r>
      <w:r>
        <w:t xml:space="preserve">-</w:t>
      </w:r>
      <w:r>
        <w:t xml:space="preserve"> </w:t>
      </w:r>
      <w:r>
        <w:t xml:space="preserve">United States</w:t>
      </w:r>
      <w:r>
        <w:t xml:space="preserve">,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88">
        <w:r>
          <w:rPr>
            <w:rStyle w:val="Hyperlink"/>
          </w:rPr>
          <w:t xml:space="preserve">https://doi.org/10.15585/mmwr.mm7325a1</w:t>
        </w:r>
      </w:hyperlink>
    </w:p>
    <w:bookmarkEnd w:id="89"/>
    <w:bookmarkStart w:id="9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90"/>
    <w:bookmarkStart w:id="9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91">
        <w:r>
          <w:rPr>
            <w:rStyle w:val="Hyperlink"/>
          </w:rPr>
          <w:t xml:space="preserve">https://doi.org/10/ghqvcw</w:t>
        </w:r>
      </w:hyperlink>
    </w:p>
    <w:bookmarkEnd w:id="92"/>
    <w:bookmarkStart w:id="9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93">
        <w:r>
          <w:rPr>
            <w:rStyle w:val="Hyperlink"/>
          </w:rPr>
          <w:t xml:space="preserve">https://doi.org/10.1016/j.drugalcdep.2020.108350</w:t>
        </w:r>
      </w:hyperlink>
    </w:p>
    <w:bookmarkEnd w:id="94"/>
    <w:bookmarkStart w:id="9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5">
        <w:r>
          <w:rPr>
            <w:rStyle w:val="Hyperlink"/>
          </w:rPr>
          <w:t xml:space="preserve">https://doi.org/10.1080/10826084.2021.1899225</w:t>
        </w:r>
      </w:hyperlink>
    </w:p>
    <w:bookmarkEnd w:id="96"/>
    <w:bookmarkStart w:id="97"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7"/>
    <w:bookmarkStart w:id="99"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8">
        <w:r>
          <w:rPr>
            <w:rStyle w:val="Hyperlink"/>
          </w:rPr>
          <w:t xml:space="preserve">https://doi.org/10.1016/j.drugalcdep.2006.05.012</w:t>
        </w:r>
      </w:hyperlink>
    </w:p>
    <w:bookmarkEnd w:id="99"/>
    <w:bookmarkStart w:id="100"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100"/>
    <w:bookmarkStart w:id="102" w:name="Xab8b1e00fc4d375f9004b963a8a1337eeee06ab"/>
    <w:p>
      <w:pPr>
        <w:pStyle w:val="Bibliography"/>
      </w:pPr>
      <w:r>
        <w:t xml:space="preserve">Gryczynski, J., Mitchell, S. G., Jaffe, J. H., O’Grady, K. E., Olsen, Y. K., &amp; Schwartz, R. P. (2014). Leaving</w:t>
      </w:r>
      <w:r>
        <w:t xml:space="preserve"> </w:t>
      </w:r>
      <w:r>
        <w:t xml:space="preserve">Buprenorphine Treatment</w:t>
      </w:r>
      <w:r>
        <w:t xml:space="preserve">:</w:t>
      </w:r>
      <w:r>
        <w:t xml:space="preserve"> </w:t>
      </w:r>
      <w:r>
        <w:t xml:space="preserve">Patients</w:t>
      </w:r>
      <w:r>
        <w:t xml:space="preserve">’</w:t>
      </w:r>
      <w:r>
        <w:t xml:space="preserve"> </w:t>
      </w:r>
      <w:r>
        <w:t xml:space="preserve">Reasons</w:t>
      </w:r>
      <w:r>
        <w:t xml:space="preserve"> </w:t>
      </w:r>
      <w:r>
        <w:t xml:space="preserve">for</w:t>
      </w:r>
      <w:r>
        <w:t xml:space="preserve"> </w:t>
      </w:r>
      <w:r>
        <w:t xml:space="preserve">Cessation</w:t>
      </w:r>
      <w:r>
        <w:t xml:space="preserve"> </w:t>
      </w:r>
      <w:r>
        <w:t xml:space="preserve">of</w:t>
      </w:r>
      <w:r>
        <w:t xml:space="preserve"> </w:t>
      </w:r>
      <w:r>
        <w:t xml:space="preserve">Care</w:t>
      </w:r>
      <w:r>
        <w:t xml:space="preserve">.</w:t>
      </w:r>
      <w:r>
        <w:t xml:space="preserve"> </w:t>
      </w:r>
      <w:r>
        <w:rPr>
          <w:i/>
          <w:iCs/>
        </w:rPr>
        <w:t xml:space="preserve">Journal of Substance Abuse Treatment</w:t>
      </w:r>
      <w:r>
        <w:t xml:space="preserve">,</w:t>
      </w:r>
      <w:r>
        <w:t xml:space="preserve"> </w:t>
      </w:r>
      <w:r>
        <w:rPr>
          <w:i/>
          <w:iCs/>
        </w:rPr>
        <w:t xml:space="preserve">46</w:t>
      </w:r>
      <w:r>
        <w:t xml:space="preserve">(3), 356–361.</w:t>
      </w:r>
      <w:r>
        <w:t xml:space="preserve"> </w:t>
      </w:r>
      <w:hyperlink r:id="rId101">
        <w:r>
          <w:rPr>
            <w:rStyle w:val="Hyperlink"/>
          </w:rPr>
          <w:t xml:space="preserve">https://doi.org/10.1016/j.jsat.2013.10.004</w:t>
        </w:r>
      </w:hyperlink>
    </w:p>
    <w:bookmarkEnd w:id="102"/>
    <w:bookmarkStart w:id="104"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103">
        <w:r>
          <w:rPr>
            <w:rStyle w:val="Hyperlink"/>
          </w:rPr>
          <w:t xml:space="preserve">https://doi.org/10.1016/j.drugalcdep.2013.07.027</w:t>
        </w:r>
      </w:hyperlink>
    </w:p>
    <w:bookmarkEnd w:id="104"/>
    <w:bookmarkStart w:id="106"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105">
        <w:r>
          <w:rPr>
            <w:rStyle w:val="Hyperlink"/>
          </w:rPr>
          <w:t xml:space="preserve">https://doi.org/10.1001/jamapsychiatry.2013.4642</w:t>
        </w:r>
      </w:hyperlink>
    </w:p>
    <w:bookmarkEnd w:id="106"/>
    <w:bookmarkStart w:id="107"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7"/>
    <w:bookmarkStart w:id="109"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8">
        <w:r>
          <w:rPr>
            <w:rStyle w:val="Hyperlink"/>
          </w:rPr>
          <w:t xml:space="preserve">https://doi.org/10.1016/j.josat.2025.209685</w:t>
        </w:r>
      </w:hyperlink>
    </w:p>
    <w:bookmarkEnd w:id="109"/>
    <w:bookmarkStart w:id="111"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10">
        <w:r>
          <w:rPr>
            <w:rStyle w:val="Hyperlink"/>
          </w:rPr>
          <w:t xml:space="preserve">https://doi.org/10.1097/ADM.0000000000000312</w:t>
        </w:r>
      </w:hyperlink>
    </w:p>
    <w:bookmarkEnd w:id="111"/>
    <w:bookmarkStart w:id="1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12">
        <w:r>
          <w:rPr>
            <w:rStyle w:val="Hyperlink"/>
          </w:rPr>
          <w:t xml:space="preserve">https://doi.org/10/gfsjzg</w:t>
        </w:r>
      </w:hyperlink>
    </w:p>
    <w:bookmarkEnd w:id="113"/>
    <w:bookmarkStart w:id="115"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14">
        <w:r>
          <w:rPr>
            <w:rStyle w:val="Hyperlink"/>
          </w:rPr>
          <w:t xml:space="preserve">https://doi.org/10.1001/jamanetworkopen.2020.5852</w:t>
        </w:r>
      </w:hyperlink>
    </w:p>
    <w:bookmarkEnd w:id="115"/>
    <w:bookmarkStart w:id="11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6"/>
    <w:bookmarkStart w:id="117"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7"/>
    <w:bookmarkStart w:id="119"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8">
        <w:r>
          <w:rPr>
            <w:rStyle w:val="Hyperlink"/>
          </w:rPr>
          <w:t xml:space="preserve">https://doi.org/10.1017/S0033291724000862</w:t>
        </w:r>
      </w:hyperlink>
    </w:p>
    <w:bookmarkEnd w:id="119"/>
    <w:bookmarkStart w:id="121"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20">
        <w:r>
          <w:rPr>
            <w:rStyle w:val="Hyperlink"/>
          </w:rPr>
          <w:t xml:space="preserve">https://doi.org/10.1080/00952990.2019.1694536</w:t>
        </w:r>
      </w:hyperlink>
    </w:p>
    <w:bookmarkEnd w:id="121"/>
    <w:bookmarkStart w:id="123"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22">
        <w:r>
          <w:rPr>
            <w:rStyle w:val="Hyperlink"/>
          </w:rPr>
          <w:t xml:space="preserve">https://doi.org/10.1111/jrh.70076</w:t>
        </w:r>
      </w:hyperlink>
    </w:p>
    <w:bookmarkEnd w:id="123"/>
    <w:bookmarkStart w:id="124"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24"/>
    <w:bookmarkStart w:id="126"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25">
        <w:r>
          <w:rPr>
            <w:rStyle w:val="Hyperlink"/>
          </w:rPr>
          <w:t xml:space="preserve">https://doi.org/10.1038/s41380-018-0094-5</w:t>
        </w:r>
      </w:hyperlink>
    </w:p>
    <w:bookmarkEnd w:id="126"/>
    <w:bookmarkStart w:id="128"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127">
        <w:r>
          <w:rPr>
            <w:rStyle w:val="Hyperlink"/>
          </w:rPr>
          <w:t xml:space="preserve">https://doi.org/10.1097/JTO.0b013e3181ec173d</w:t>
        </w:r>
      </w:hyperlink>
    </w:p>
    <w:bookmarkEnd w:id="128"/>
    <w:bookmarkStart w:id="129"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9"/>
    <w:bookmarkStart w:id="131"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30">
        <w:r>
          <w:rPr>
            <w:rStyle w:val="Hyperlink"/>
          </w:rPr>
          <w:t xml:space="preserve">https://doi.org/10.1177/00333549211041554</w:t>
        </w:r>
      </w:hyperlink>
    </w:p>
    <w:bookmarkEnd w:id="131"/>
    <w:bookmarkStart w:id="133"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32">
        <w:r>
          <w:rPr>
            <w:rStyle w:val="Hyperlink"/>
          </w:rPr>
          <w:t xml:space="preserve">https://doi.org/10.1016/j.cpr.2017.10.012</w:t>
        </w:r>
      </w:hyperlink>
    </w:p>
    <w:bookmarkEnd w:id="133"/>
    <w:bookmarkStart w:id="13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34">
        <w:r>
          <w:rPr>
            <w:rStyle w:val="Hyperlink"/>
          </w:rPr>
          <w:t xml:space="preserve">https://doi.org/10.1001/jama.284.13.1689</w:t>
        </w:r>
      </w:hyperlink>
    </w:p>
    <w:bookmarkEnd w:id="135"/>
    <w:bookmarkStart w:id="13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36">
        <w:r>
          <w:rPr>
            <w:rStyle w:val="Hyperlink"/>
          </w:rPr>
          <w:t xml:space="preserve">https://doi.org/10.1146/annurev-clinpsy-032816-044949</w:t>
        </w:r>
      </w:hyperlink>
    </w:p>
    <w:bookmarkEnd w:id="137"/>
    <w:bookmarkStart w:id="13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8">
        <w:r>
          <w:rPr>
            <w:rStyle w:val="Hyperlink"/>
          </w:rPr>
          <w:t xml:space="preserve">https://doi.org/10.2196/29563</w:t>
        </w:r>
      </w:hyperlink>
    </w:p>
    <w:bookmarkEnd w:id="139"/>
    <w:bookmarkStart w:id="141" w:name="ref-novakBehavioralHealthTreatment2019"/>
    <w:p>
      <w:pPr>
        <w:pStyle w:val="Bibliography"/>
      </w:pPr>
      <w:r>
        <w:t xml:space="preserve">Novak, P., Feder, K. A., Ali, M. M., &amp; Chen, J. (2019). Behavioral health treatment utilization among individuals with co-occurring opioid use disorder and mental illness:</w:t>
      </w:r>
      <w:r>
        <w:t xml:space="preserve"> </w:t>
      </w:r>
      <w:r>
        <w:t xml:space="preserve">Evidence</w:t>
      </w:r>
      <w:r>
        <w:t xml:space="preserve"> </w:t>
      </w:r>
      <w:r>
        <w:t xml:space="preserve">from a national survey.</w:t>
      </w:r>
      <w:r>
        <w:t xml:space="preserve"> </w:t>
      </w:r>
      <w:r>
        <w:rPr>
          <w:i/>
          <w:iCs/>
        </w:rPr>
        <w:t xml:space="preserve">Journal of Substance Abuse Treatment</w:t>
      </w:r>
      <w:r>
        <w:t xml:space="preserve">,</w:t>
      </w:r>
      <w:r>
        <w:t xml:space="preserve"> </w:t>
      </w:r>
      <w:r>
        <w:rPr>
          <w:i/>
          <w:iCs/>
        </w:rPr>
        <w:t xml:space="preserve">98</w:t>
      </w:r>
      <w:r>
        <w:t xml:space="preserve">, 47–52.</w:t>
      </w:r>
      <w:r>
        <w:t xml:space="preserve"> </w:t>
      </w:r>
      <w:hyperlink r:id="rId140">
        <w:r>
          <w:rPr>
            <w:rStyle w:val="Hyperlink"/>
          </w:rPr>
          <w:t xml:space="preserve">https://doi.org/10.1016/j.jsat.2018.12.006</w:t>
        </w:r>
      </w:hyperlink>
    </w:p>
    <w:bookmarkEnd w:id="141"/>
    <w:bookmarkStart w:id="14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42">
        <w:r>
          <w:rPr>
            <w:rStyle w:val="Hyperlink"/>
          </w:rPr>
          <w:t xml:space="preserve">https://doi.org/10.1016/j.jsat.2021.108710</w:t>
        </w:r>
      </w:hyperlink>
    </w:p>
    <w:bookmarkEnd w:id="143"/>
    <w:bookmarkStart w:id="14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44">
        <w:r>
          <w:rPr>
            <w:rStyle w:val="Hyperlink"/>
          </w:rPr>
          <w:t xml:space="preserve">https://doi.org/10.1037/tps0000250</w:t>
        </w:r>
      </w:hyperlink>
    </w:p>
    <w:bookmarkEnd w:id="145"/>
    <w:bookmarkStart w:id="14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46">
        <w:r>
          <w:rPr>
            <w:rStyle w:val="Hyperlink"/>
          </w:rPr>
          <w:t xml:space="preserve">https://doi.org/10.1016/j.drugalcdep.2019.05.017</w:t>
        </w:r>
      </w:hyperlink>
    </w:p>
    <w:bookmarkEnd w:id="147"/>
    <w:bookmarkStart w:id="14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48">
        <w:r>
          <w:rPr>
            <w:rStyle w:val="Hyperlink"/>
          </w:rPr>
          <w:t xml:space="preserve">https://doi.org/10.2196/73265</w:t>
        </w:r>
      </w:hyperlink>
    </w:p>
    <w:bookmarkEnd w:id="149"/>
    <w:bookmarkStart w:id="151" w:name="ref-rajkomarEnsuringFairnessMachine2018"/>
    <w:p>
      <w:pPr>
        <w:pStyle w:val="Bibliography"/>
      </w:pPr>
      <w:r>
        <w:t xml:space="preserve">Rajkomar, A., Hardt, M., Howell, M. D., Corrado, G., &amp; Chin, M. H. (2018). Ensuring</w:t>
      </w:r>
      <w:r>
        <w:t xml:space="preserve"> </w:t>
      </w:r>
      <w:r>
        <w:t xml:space="preserve">Fairness</w:t>
      </w:r>
      <w:r>
        <w:t xml:space="preserve"> </w:t>
      </w:r>
      <w:r>
        <w:t xml:space="preserve">in</w:t>
      </w:r>
      <w:r>
        <w:t xml:space="preserve"> </w:t>
      </w:r>
      <w:r>
        <w:t xml:space="preserve">Machine Learning</w:t>
      </w:r>
      <w:r>
        <w:t xml:space="preserve"> </w:t>
      </w:r>
      <w:r>
        <w:t xml:space="preserve">to</w:t>
      </w:r>
      <w:r>
        <w:t xml:space="preserve"> </w:t>
      </w:r>
      <w:r>
        <w:t xml:space="preserve">Advance Health Equity</w:t>
      </w:r>
      <w:r>
        <w:t xml:space="preserve">.</w:t>
      </w:r>
      <w:r>
        <w:t xml:space="preserve"> </w:t>
      </w:r>
      <w:r>
        <w:rPr>
          <w:i/>
          <w:iCs/>
        </w:rPr>
        <w:t xml:space="preserve">Annals of Internal Medicine</w:t>
      </w:r>
      <w:r>
        <w:t xml:space="preserve">,</w:t>
      </w:r>
      <w:r>
        <w:t xml:space="preserve"> </w:t>
      </w:r>
      <w:r>
        <w:rPr>
          <w:i/>
          <w:iCs/>
        </w:rPr>
        <w:t xml:space="preserve">169</w:t>
      </w:r>
      <w:r>
        <w:t xml:space="preserve">(12), 866.</w:t>
      </w:r>
      <w:r>
        <w:t xml:space="preserve"> </w:t>
      </w:r>
      <w:hyperlink r:id="rId150">
        <w:r>
          <w:rPr>
            <w:rStyle w:val="Hyperlink"/>
          </w:rPr>
          <w:t xml:space="preserve">https://doi.org/10.7326/M18-1990</w:t>
        </w:r>
      </w:hyperlink>
    </w:p>
    <w:bookmarkEnd w:id="151"/>
    <w:bookmarkStart w:id="153"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52">
        <w:r>
          <w:rPr>
            <w:rStyle w:val="Hyperlink"/>
          </w:rPr>
          <w:t xml:space="preserve">https://doi.org/10.1377/hlthaff.2011.0983</w:t>
        </w:r>
      </w:hyperlink>
    </w:p>
    <w:bookmarkEnd w:id="153"/>
    <w:bookmarkStart w:id="155"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54">
        <w:r>
          <w:rPr>
            <w:rStyle w:val="Hyperlink"/>
          </w:rPr>
          <w:t xml:space="preserve">https://doi.org/10.1111/j.1530-0277.2006.00263.x</w:t>
        </w:r>
      </w:hyperlink>
    </w:p>
    <w:bookmarkEnd w:id="155"/>
    <w:bookmarkStart w:id="157"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56">
        <w:r>
          <w:rPr>
            <w:rStyle w:val="Hyperlink"/>
          </w:rPr>
          <w:t xml:space="preserve">https://doi.org/10.1001/jamapsychiatry.2013.4450</w:t>
        </w:r>
      </w:hyperlink>
    </w:p>
    <w:bookmarkEnd w:id="157"/>
    <w:bookmarkStart w:id="159" w:name="ref-skolnickSyntheticOpioidsHave2024"/>
    <w:p>
      <w:pPr>
        <w:pStyle w:val="Bibliography"/>
      </w:pPr>
      <w:r>
        <w:t xml:space="preserve">Skolnick, P., Paavola, J., &amp; Heidbreder, C. (2024). Synthetic opioids have disrupted conventional wisdom for treating opioid overdose.</w:t>
      </w:r>
      <w:r>
        <w:t xml:space="preserve"> </w:t>
      </w:r>
      <w:r>
        <w:rPr>
          <w:i/>
          <w:iCs/>
        </w:rPr>
        <w:t xml:space="preserve">Drug and Alcohol Dependence Reports</w:t>
      </w:r>
      <w:r>
        <w:t xml:space="preserve">,</w:t>
      </w:r>
      <w:r>
        <w:t xml:space="preserve"> </w:t>
      </w:r>
      <w:r>
        <w:rPr>
          <w:i/>
          <w:iCs/>
        </w:rPr>
        <w:t xml:space="preserve">12</w:t>
      </w:r>
      <w:r>
        <w:t xml:space="preserve">, 100268.</w:t>
      </w:r>
      <w:r>
        <w:t xml:space="preserve"> </w:t>
      </w:r>
      <w:hyperlink r:id="rId158">
        <w:r>
          <w:rPr>
            <w:rStyle w:val="Hyperlink"/>
          </w:rPr>
          <w:t xml:space="preserve">https://doi.org/10.1016/j.dadr.2024.100268</w:t>
        </w:r>
      </w:hyperlink>
    </w:p>
    <w:bookmarkEnd w:id="159"/>
    <w:bookmarkStart w:id="161"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60">
        <w:r>
          <w:rPr>
            <w:rStyle w:val="Hyperlink"/>
          </w:rPr>
          <w:t xml:space="preserve">https://doi.org/10.1037/0003-066X.60.4.340</w:t>
        </w:r>
      </w:hyperlink>
    </w:p>
    <w:bookmarkEnd w:id="161"/>
    <w:bookmarkStart w:id="163" w:name="ref-strangLossToleranceOverdose2003"/>
    <w:p>
      <w:pPr>
        <w:pStyle w:val="Bibliography"/>
      </w:pPr>
      <w:r>
        <w:t xml:space="preserve">Strang, J., McCambridge, J., Best, D., Beswick, T., Bearn, J., Rees, S., &amp; Gossop, M. (2003). Loss of tolerance and overdose mortality after inpatient opiate detoxification: Follow up study.</w:t>
      </w:r>
      <w:r>
        <w:t xml:space="preserve"> </w:t>
      </w:r>
      <w:r>
        <w:rPr>
          <w:i/>
          <w:iCs/>
        </w:rPr>
        <w:t xml:space="preserve">BMJ</w:t>
      </w:r>
      <w:r>
        <w:t xml:space="preserve">,</w:t>
      </w:r>
      <w:r>
        <w:t xml:space="preserve"> </w:t>
      </w:r>
      <w:r>
        <w:rPr>
          <w:i/>
          <w:iCs/>
        </w:rPr>
        <w:t xml:space="preserve">326</w:t>
      </w:r>
      <w:r>
        <w:t xml:space="preserve">(7396), 959–960.</w:t>
      </w:r>
      <w:r>
        <w:t xml:space="preserve"> </w:t>
      </w:r>
      <w:hyperlink r:id="rId162">
        <w:r>
          <w:rPr>
            <w:rStyle w:val="Hyperlink"/>
          </w:rPr>
          <w:t xml:space="preserve">https://doi.org/10.1136/bmj.326.7396.959</w:t>
        </w:r>
      </w:hyperlink>
    </w:p>
    <w:bookmarkEnd w:id="163"/>
    <w:bookmarkStart w:id="164"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64"/>
    <w:bookmarkStart w:id="166"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65">
        <w:r>
          <w:rPr>
            <w:rStyle w:val="Hyperlink"/>
          </w:rPr>
          <w:t xml:space="preserve">https://doi.org/10.1016/j.landig.2025.100916</w:t>
        </w:r>
      </w:hyperlink>
    </w:p>
    <w:bookmarkEnd w:id="166"/>
    <w:bookmarkStart w:id="16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67">
        <w:r>
          <w:rPr>
            <w:rStyle w:val="Hyperlink"/>
          </w:rPr>
          <w:t xml:space="preserve">https://doi.org/10.1016/j.cpr.2005.11.003</w:t>
        </w:r>
      </w:hyperlink>
    </w:p>
    <w:bookmarkEnd w:id="168"/>
    <w:bookmarkStart w:id="169"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69"/>
    <w:bookmarkStart w:id="171"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70">
        <w:r>
          <w:rPr>
            <w:rStyle w:val="Hyperlink"/>
          </w:rPr>
          <w:t xml:space="preserve">https://doi.org/10.1037/0003-066X.59.4.224</w:t>
        </w:r>
      </w:hyperlink>
    </w:p>
    <w:bookmarkEnd w:id="171"/>
    <w:bookmarkStart w:id="173"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72">
        <w:r>
          <w:rPr>
            <w:rStyle w:val="Hyperlink"/>
          </w:rPr>
          <w:t xml:space="preserve">https://doi.org/10.1080/14659891.2018.1523968</w:t>
        </w:r>
      </w:hyperlink>
    </w:p>
    <w:bookmarkEnd w:id="173"/>
    <w:bookmarkStart w:id="175"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74">
        <w:r>
          <w:rPr>
            <w:rStyle w:val="Hyperlink"/>
          </w:rPr>
          <w:t xml:space="preserve">https://doi.org/10.2196/41833</w:t>
        </w:r>
      </w:hyperlink>
    </w:p>
    <w:bookmarkEnd w:id="175"/>
    <w:bookmarkStart w:id="177"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76">
        <w:r>
          <w:rPr>
            <w:rStyle w:val="Hyperlink"/>
          </w:rPr>
          <w:t xml:space="preserve">https://doi.org/10.31234/osf.io/cgsf7</w:t>
        </w:r>
      </w:hyperlink>
    </w:p>
    <w:bookmarkEnd w:id="177"/>
    <w:bookmarkStart w:id="179"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78">
        <w:r>
          <w:rPr>
            <w:rStyle w:val="Hyperlink"/>
          </w:rPr>
          <w:t xml:space="preserve">https://doi.org/10.1080/17441692.2023.2277854</w:t>
        </w:r>
      </w:hyperlink>
    </w:p>
    <w:bookmarkEnd w:id="179"/>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34" Target="https://doi.org/10.1001/jama.284.13.1689" TargetMode="External" /><Relationship Type="http://schemas.openxmlformats.org/officeDocument/2006/relationships/hyperlink" Id="rId114" Target="https://doi.org/10.1001/jamanetworkopen.2020.5852" TargetMode="External" /><Relationship Type="http://schemas.openxmlformats.org/officeDocument/2006/relationships/hyperlink" Id="rId156" Target="https://doi.org/10.1001/jamapsychiatry.2013.4450" TargetMode="External" /><Relationship Type="http://schemas.openxmlformats.org/officeDocument/2006/relationships/hyperlink" Id="rId105" Target="https://doi.org/10.1001/jamapsychiatry.2013.4642" TargetMode="External" /><Relationship Type="http://schemas.openxmlformats.org/officeDocument/2006/relationships/hyperlink" Id="rId76" Target="https://doi.org/10.1001/jamapsychiatry.2021.1969" TargetMode="External" /><Relationship Type="http://schemas.openxmlformats.org/officeDocument/2006/relationships/hyperlink" Id="rId167" Target="https://doi.org/10.1016/j.cpr.2005.11.003" TargetMode="External" /><Relationship Type="http://schemas.openxmlformats.org/officeDocument/2006/relationships/hyperlink" Id="rId132" Target="https://doi.org/10.1016/j.cpr.2017.10.012" TargetMode="External" /><Relationship Type="http://schemas.openxmlformats.org/officeDocument/2006/relationships/hyperlink" Id="rId158" Target="https://doi.org/10.1016/j.dadr.2024.100268" TargetMode="External" /><Relationship Type="http://schemas.openxmlformats.org/officeDocument/2006/relationships/hyperlink" Id="rId98" Target="https://doi.org/10.1016/j.drugalcdep.2006.05.012" TargetMode="External" /><Relationship Type="http://schemas.openxmlformats.org/officeDocument/2006/relationships/hyperlink" Id="rId103"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46" Target="https://doi.org/10.1016/j.drugalcdep.2019.05.017" TargetMode="External" /><Relationship Type="http://schemas.openxmlformats.org/officeDocument/2006/relationships/hyperlink" Id="rId93" Target="https://doi.org/10.1016/j.drugalcdep.2020.108350" TargetMode="External" /><Relationship Type="http://schemas.openxmlformats.org/officeDocument/2006/relationships/hyperlink" Id="rId108" Target="https://doi.org/10.1016/j.josat.2025.209685" TargetMode="External" /><Relationship Type="http://schemas.openxmlformats.org/officeDocument/2006/relationships/hyperlink" Id="rId101" Target="https://doi.org/10.1016/j.jsat.2013.10.004" TargetMode="External" /><Relationship Type="http://schemas.openxmlformats.org/officeDocument/2006/relationships/hyperlink" Id="rId140" Target="https://doi.org/10.1016/j.jsat.2018.12.006" TargetMode="External" /><Relationship Type="http://schemas.openxmlformats.org/officeDocument/2006/relationships/hyperlink" Id="rId142" Target="https://doi.org/10.1016/j.jsat.2021.108710" TargetMode="External" /><Relationship Type="http://schemas.openxmlformats.org/officeDocument/2006/relationships/hyperlink" Id="rId165" Target="https://doi.org/10.1016/j.landig.2025.100916" TargetMode="External" /><Relationship Type="http://schemas.openxmlformats.org/officeDocument/2006/relationships/hyperlink" Id="rId118" Target="https://doi.org/10.1017/S0033291724000862" TargetMode="External" /><Relationship Type="http://schemas.openxmlformats.org/officeDocument/2006/relationships/hyperlink" Id="rId170" Target="https://doi.org/10.1037/0003-066X.59.4.224" TargetMode="External" /><Relationship Type="http://schemas.openxmlformats.org/officeDocument/2006/relationships/hyperlink" Id="rId160" Target="https://doi.org/10.1037/0003-066X.60.4.340" TargetMode="External" /><Relationship Type="http://schemas.openxmlformats.org/officeDocument/2006/relationships/hyperlink" Id="rId144" Target="https://doi.org/10.1037/tps0000250" TargetMode="External" /><Relationship Type="http://schemas.openxmlformats.org/officeDocument/2006/relationships/hyperlink" Id="rId125" Target="https://doi.org/10.1038/s41380-018-0094-5" TargetMode="External" /><Relationship Type="http://schemas.openxmlformats.org/officeDocument/2006/relationships/hyperlink" Id="rId120" Target="https://doi.org/10.1080/00952990.2019.1694536" TargetMode="External" /><Relationship Type="http://schemas.openxmlformats.org/officeDocument/2006/relationships/hyperlink" Id="rId95" Target="https://doi.org/10.1080/10826084.2021.1899225" TargetMode="External" /><Relationship Type="http://schemas.openxmlformats.org/officeDocument/2006/relationships/hyperlink" Id="rId172" Target="https://doi.org/10.1080/14659891.2018.1523968" TargetMode="External" /><Relationship Type="http://schemas.openxmlformats.org/officeDocument/2006/relationships/hyperlink" Id="rId178" Target="https://doi.org/10.1080/17441692.2023.2277854" TargetMode="External" /><Relationship Type="http://schemas.openxmlformats.org/officeDocument/2006/relationships/hyperlink" Id="rId110" Target="https://doi.org/10.1097/ADM.0000000000000312" TargetMode="External" /><Relationship Type="http://schemas.openxmlformats.org/officeDocument/2006/relationships/hyperlink" Id="rId127" Target="https://doi.org/10.1097/JTO.0b013e3181ec173d" TargetMode="External" /><Relationship Type="http://schemas.openxmlformats.org/officeDocument/2006/relationships/hyperlink" Id="rId86" Target="https://doi.org/10.1111/geb.13070" TargetMode="External" /><Relationship Type="http://schemas.openxmlformats.org/officeDocument/2006/relationships/hyperlink" Id="rId154" Target="https://doi.org/10.1111/j.1530-0277.2006.00263.x" TargetMode="External" /><Relationship Type="http://schemas.openxmlformats.org/officeDocument/2006/relationships/hyperlink" Id="rId122"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62" Target="https://doi.org/10.1136/bmj.326.7396.959" TargetMode="External" /><Relationship Type="http://schemas.openxmlformats.org/officeDocument/2006/relationships/hyperlink" Id="rId136" Target="https://doi.org/10.1146/annurev-clinpsy-032816-044949" TargetMode="External" /><Relationship Type="http://schemas.openxmlformats.org/officeDocument/2006/relationships/hyperlink" Id="rId130" Target="https://doi.org/10.1177/00333549211041554" TargetMode="External" /><Relationship Type="http://schemas.openxmlformats.org/officeDocument/2006/relationships/hyperlink" Id="rId152" Target="https://doi.org/10.1377/hlthaff.2011.0983" TargetMode="External" /><Relationship Type="http://schemas.openxmlformats.org/officeDocument/2006/relationships/hyperlink" Id="rId88" Target="https://doi.org/10.15585/mmwr.mm7325a1" TargetMode="External" /><Relationship Type="http://schemas.openxmlformats.org/officeDocument/2006/relationships/hyperlink" Id="rId78" Target="https://doi.org/10.21231/GNT1-HW21" TargetMode="External" /><Relationship Type="http://schemas.openxmlformats.org/officeDocument/2006/relationships/hyperlink" Id="rId138" Target="https://doi.org/10.2196/29563" TargetMode="External" /><Relationship Type="http://schemas.openxmlformats.org/officeDocument/2006/relationships/hyperlink" Id="rId174" Target="https://doi.org/10.2196/41833" TargetMode="External" /><Relationship Type="http://schemas.openxmlformats.org/officeDocument/2006/relationships/hyperlink" Id="rId148" Target="https://doi.org/10.2196/73265" TargetMode="External" /><Relationship Type="http://schemas.openxmlformats.org/officeDocument/2006/relationships/hyperlink" Id="rId176" Target="https://doi.org/10.31234/osf.io/cgsf7" TargetMode="External" /><Relationship Type="http://schemas.openxmlformats.org/officeDocument/2006/relationships/hyperlink" Id="rId150" Target="https://doi.org/10.7326/M18-1990" TargetMode="External" /><Relationship Type="http://schemas.openxmlformats.org/officeDocument/2006/relationships/hyperlink" Id="rId112" Target="https://doi.org/10/gfsjzg" TargetMode="External" /><Relationship Type="http://schemas.openxmlformats.org/officeDocument/2006/relationships/hyperlink" Id="rId91"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5" Target="https://jjcurtin.github.io/study_risk2/notebooks\mak_figures-preview.html#cell-fig-2" TargetMode="External" /><Relationship Type="http://schemas.openxmlformats.org/officeDocument/2006/relationships/hyperlink" Id="rId61" Target="https://jjcurtin.github.io/study_risk2/notebooks\mak_figures-preview.html#cell-fig-3" TargetMode="External" /><Relationship Type="http://schemas.openxmlformats.org/officeDocument/2006/relationships/hyperlink" Id="rId66"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2026-09-18T12:58:42Z</dcterms:created>
  <dcterms:modified xsi:type="dcterms:W3CDTF">2026-09-18T12:58:42Z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2026-09-17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