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w:t>
      </w:r>
      <w:r>
        <w:rPr>
          <w:b/>
          <w:bCs/>
        </w:rPr>
        <w:t xml:space="preserve">substanceabuseandmentalhealthservicesadministration2024NSDUHDetailed?</w:t>
      </w:r>
      <w:r>
        <w:t xml:space="preserve">)</w:t>
      </w:r>
      <w:r>
        <w:t xml:space="preserve">. OUD is associated with elevated mortality and morbidity, including increased risk of infectious disease, psychiatric comorbidity, and disability</w:t>
      </w:r>
      <w:r>
        <w:t xml:space="preserve"> </w:t>
      </w:r>
      <w:r>
        <w:t xml:space="preserve">(</w:t>
      </w:r>
      <w:r>
        <w:rPr>
          <w:b/>
          <w:bCs/>
        </w:rPr>
        <w:t xml:space="preserve">hserHighMortalityPatients2017?</w:t>
      </w:r>
      <w:r>
        <w:t xml:space="preserve">)</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w:t>
      </w:r>
      <w:r>
        <w:rPr>
          <w:b/>
          <w:bCs/>
        </w:rPr>
        <w:t xml:space="preserve">florenceEconomicBurdenOpioid2021?</w:t>
      </w:r>
      <w:r>
        <w:t xml:space="preserve">)</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w:t>
      </w:r>
      <w:r>
        <w:rPr>
          <w:b/>
          <w:bCs/>
        </w:rPr>
        <w:t xml:space="preserve">maEffectsMedicationassistedTreatment2019?</w:t>
      </w:r>
      <w:r>
        <w:t xml:space="preserve">)</w:t>
      </w:r>
      <w:r>
        <w:t xml:space="preserve">. They are also associated with improvements in mental health and social functioning, particularly when maintained over extended periods. However, despite strong evidence for MOUD, access remains limited and treatment dropout is common. Sustained retention in treatment is a key determinant of positive outcomes.</w:t>
      </w:r>
    </w:p>
    <w:p>
      <w:pPr>
        <w:pStyle w:val="BodyText"/>
      </w:pPr>
      <w:r>
        <w:t xml:space="preserve">Lapses remain common even among individuals receiving MOUD and can increase the risk of treatment dropout, relapse, and overdose</w:t>
      </w:r>
      <w:r>
        <w:t xml:space="preserve"> </w:t>
      </w:r>
      <w:r>
        <w:t xml:space="preserve">(</w:t>
      </w:r>
      <w:r>
        <w:rPr>
          <w:b/>
          <w:bCs/>
        </w:rPr>
        <w:t xml:space="preserve">weinsteinLongtermRetentionOffice2017?</w:t>
      </w:r>
      <w:r>
        <w:t xml:space="preserve">;</w:t>
      </w:r>
      <w:r>
        <w:t xml:space="preserve"> </w:t>
      </w:r>
      <w:r>
        <w:rPr>
          <w:b/>
          <w:bCs/>
        </w:rPr>
        <w:t xml:space="preserve">heinzLongitudinalObservationalStudy2025?</w:t>
      </w:r>
      <w:r>
        <w:t xml:space="preserve">)</w:t>
      </w:r>
      <w:r>
        <w:t xml:space="preserve">. Opioid lapses are particularly high-risk events. Reduced opioid tolerance (e.g., after a period of abstinence) and increased prevalence of fentanyl and other synthetic opioids in the drug supply substantially increases the likelihood of fatal overdose.</w:t>
      </w:r>
    </w:p>
    <w:p>
      <w:pPr>
        <w:pStyle w:val="BodyText"/>
      </w:pPr>
      <w:r>
        <w:t xml:space="preserve">Identifying when an individual is at high lapse risk could enable earlier clinical intervention and potentially prevent relapse and overdose. However, risk for opioid use and lapse is dynamic and fluctuates across time in response to stress, craving, environmental cues, and treatment engagement. Smartphone sensing methods, including brief daily self-report surveys and passive geolocation sensing, offer a .</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p>
      <w:pPr>
        <w:numPr>
          <w:ilvl w:val="0"/>
          <w:numId w:val="1003"/>
        </w:numPr>
      </w:pPr>
      <w:r>
        <w:t xml:space="preserve">Participants provided data for up to 12 months. This extended window of recovery (12 months vs. 3 months) is critical for evaluating the value of an algorithm intended for ongoing continuing care support and understanding how lapse risk evolves as people progress in their recovery (i.e., past 3 months).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are better suited for understanding the temporal dynamics of lapse risk over long periods of recovery.</w:t>
      </w:r>
    </w:p>
    <w:p>
      <w:pPr>
        <w:numPr>
          <w:ilvl w:val="0"/>
          <w:numId w:val="1003"/>
        </w:numPr>
      </w:pPr>
      <w:r>
        <w:t xml:space="preserve">The longer duration of participation also provides the opportunity to experiment with lagged prediction windows further than two weeks into the future (i.e., 1 month). However, in a machine learning framework, different models must be built to predict lapses at varying times in the future. For example, a recovery monitoring support system that detects both immediate lapse risk (i.e., in the next 24 hours) and future lapse risk (i.e, in the next 2 weeks and in the next month) would need three models. This approach is time consuming, cumbersome, and still only provides coarse understanding of time-course. Therefore, this study will only predict immediate lapse risk.</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2026-03-16T23:05:34Z</dcterms:created>
  <dcterms:modified xsi:type="dcterms:W3CDTF">2026-03-16T23:05:34Z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2026-03-16</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