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2.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2026-01-22</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bookmarkEnd w:id="23"/>
    <w:bookmarkStart w:id="24"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daily surveys, monthly surveys and sharing sensing data) and were paid $50 per month to offset the cost of maintaining a cellphone plan.</w:t>
      </w:r>
    </w:p>
    <w:bookmarkEnd w:id="24"/>
    <w:bookmarkStart w:id="25"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5"/>
    <w:bookmarkStart w:id="30" w:name="measures"/>
    <w:p>
      <w:pPr>
        <w:pStyle w:val="Heading2"/>
      </w:pPr>
      <w:r>
        <w:t xml:space="preserve">Measures</w:t>
      </w:r>
    </w:p>
    <w:bookmarkStart w:id="27"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Demographic variables known to influence OUD treatment access and clinical outcomes (age, gender, race, ethnicity, education and income)</w:t>
      </w:r>
      <w:r>
        <w:t xml:space="preserve"> </w:t>
      </w:r>
      <w:r>
        <w:t xml:space="preserve">were included as features in our model to reduce potential bias from subgroup effects being encoded indirectly by proxy variables</w:t>
      </w:r>
      <w:r>
        <w:t xml:space="preserve"> </w:t>
      </w:r>
      <w:r>
        <w:t xml:space="preserve">(Greenfield et al., 2007; Kilaru et al., 2020; Martin et al., 2022; Olfson et al., 2022; Pinedo, 2019; Qeadan et al., 2025; Townsend et al., 2007)</w:t>
      </w:r>
      <w:r>
        <w:t xml:space="preserve">. We also used these features to perform subgroup analyses for evaluating model fairness.</w:t>
      </w:r>
      <w:r>
        <w:rPr>
          <w:rStyle w:val="FootnoteReference"/>
        </w:rPr>
        <w:footnoteReference w:id="26"/>
      </w:r>
    </w:p>
    <w:p>
      <w:pPr>
        <w:pStyle w:val="BodyText"/>
      </w:pPr>
      <w:r>
        <w:t xml:space="preserve">We also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w:t>
      </w:r>
      <w:r>
        <w:t xml:space="preserve"> </w:t>
      </w:r>
    </w:p>
    <w:p>
      <w:pPr>
        <w:pStyle w:val="BodyText"/>
      </w:pPr>
      <w:r>
        <w:t xml:space="preserve">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7"/>
    <w:bookmarkStart w:id="28" w:name="daily-survey"/>
    <w:p>
      <w:pPr>
        <w:pStyle w:val="Heading3"/>
      </w:pPr>
      <w:r>
        <w:t xml:space="preserve">Daily Survey</w:t>
      </w:r>
    </w:p>
    <w:p>
      <w:pPr>
        <w:pStyle w:val="FirstParagraph"/>
      </w:pPr>
      <w:r>
        <w:t xml:space="preserve">Participants completed a brief (1-2 minute) daily survey each day on study through the STAR app. The daily survey became available in the app at 5:00 AM CST each morning and participants had 24 hours to complete it. Participants could enable push notifications for reminder prompts to complete the survey. Each survey had 16-items that asked participants to report the date and time of any opioid use for nonmedical reasons not yet reported. These reports served as the primary outcome for the lapse risk prediction model. Participants also reported any other drugs that they had used and whether they took their MOUD as prescribed in the past 24 hours. Next, participants rated the maximum intensity of recent (i.e., in the past 24 hours) experiences of pain, craving, risky situations, stressful events, and pleasant events. Next, participants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8"/>
    <w:bookmarkStart w:id="29"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29"/>
    <w:bookmarkEnd w:id="30"/>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1"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caclulated a total of 793 features from three data sources:</w:t>
      </w:r>
    </w:p>
    <w:p>
      <w:pPr>
        <w:numPr>
          <w:ilvl w:val="0"/>
          <w:numId w:val="1002"/>
        </w:numPr>
      </w:pPr>
      <w:r>
        <w:rPr>
          <w:i/>
          <w:iCs/>
        </w:rPr>
        <w:t xml:space="preserve">The prediction window.</w:t>
      </w:r>
      <w:r>
        <w:t xml:space="preserve"> </w:t>
      </w:r>
      <w:r>
        <w:t xml:space="preserve">We created dummy-coded features for day of the week for the start of the prediction window.</w:t>
      </w:r>
    </w:p>
    <w:p>
      <w:pPr>
        <w:numPr>
          <w:ilvl w:val="0"/>
          <w:numId w:val="1002"/>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2"/>
        </w:numPr>
      </w:pPr>
      <w:r>
        <w:rPr>
          <w:i/>
          <w:iCs/>
        </w:rPr>
        <w:t xml:space="preserve">Dynamic survey and geolocation sensing data.</w:t>
      </w:r>
      <w:r>
        <w:t xml:space="preserve"> </w:t>
      </w:r>
      <w:r>
        <w:t xml:space="preserve">For both sets of dynamic features we calculated two types of features: raw and difference features over varying feature scoring epochs. Raw features represent the feature value calculated within a given scoring epoch (e.g., the maximum urge rating reported on the daily survey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48 hours).</w:t>
      </w:r>
    </w:p>
    <w:p>
      <w:pPr>
        <w:numPr>
          <w:ilvl w:val="0"/>
          <w:numId w:val="1000"/>
        </w:numPr>
      </w:pPr>
      <w:r>
        <w:t xml:space="preserve">We used three feature scoring epochs (48, 72, and 168 hours before the start of the prediction window) to create features from the daily survey.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We also calculated raw and difference rate features based on counts of opioid lapses, other drug use, missed MOUD doses (items 1-3), and completed daily surveys in each feature scoring epoch (e.g., counts of opioid lapses within the 48 hours preceding the start of a prediction window divided by 48).</w:t>
      </w:r>
    </w:p>
    <w:p>
      <w:pPr>
        <w:numPr>
          <w:ilvl w:val="0"/>
          <w:numId w:val="1000"/>
        </w:numPr>
      </w:pPr>
      <w:r>
        <w:t xml:space="preserve">We used six feature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a baseline model that excluded the dynamic daily survey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1"/>
    <w:bookmarkStart w:id="32"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p>
    <w:p>
      <w:pPr>
        <w:pStyle w:val="BodyText"/>
      </w:pPr>
      <w:r>
        <w:t xml:space="preserve">Participants reported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2"/>
    <w:bookmarkStart w:id="33" w:name="model-configurations"/>
    <w:p>
      <w:pPr>
        <w:pStyle w:val="Heading3"/>
      </w:pPr>
      <w:r>
        <w:t xml:space="preserve">Model Configurations</w:t>
      </w:r>
    </w:p>
    <w:p>
      <w:pPr>
        <w:pStyle w:val="FirstParagraph"/>
      </w:pPr>
      <w:r>
        <w:t xml:space="preserve">We initially considered five statistical algorithms that differed in terms of assumptions and bias-variance tradeoff: elastic net, random forest, XGBoost, a single-layer neural network, and a support vector machine. We chose the optimal algorithm using 6 repeats of 5-fold cross-validation. XGBoost emerged as our best performing algorithm and was the only algorithm considered for final model selection and evaluation (see supplement for 6x5 cross-validation performance estimates of all algorithms considered).</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Configurations also differed on feature set (full vs. baseline). Our primary full model configurations used all available features (see Feature Engineering section). Our baseline model configurations used only features from the prediction window (day of week) and demographic and OUD characteristics (i.e., it excluded daily survey and geolocation features).</w:t>
      </w:r>
    </w:p>
    <w:bookmarkEnd w:id="33"/>
    <w:bookmarkStart w:id="34" w:name="cross-validation"/>
    <w:p>
      <w:pPr>
        <w:pStyle w:val="Heading3"/>
      </w:pPr>
      <w:r>
        <w:t xml:space="preserve">Cross-Validation</w:t>
      </w:r>
    </w:p>
    <w:p>
      <w:pPr>
        <w:pStyle w:val="FirstParagraph"/>
      </w:pPr>
      <w:r>
        <w:t xml:space="preserve">We used nested cross-validation for selection and evaluation of the final candidate model configurations. We used 2 repeats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4"/>
    <w:bookmarkStart w:id="37"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p>
    <w:bookmarkStart w:id="35"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(below poverty line vs. above poverty line)</w:t>
      </w:r>
      <w:r>
        <w:t xml:space="preserve">,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and education (high school or less vs. some college). We conducted Bayesian group comparisons to assess the likelihood that each model performs differently by group.</w:t>
      </w:r>
    </w:p>
    <w:bookmarkEnd w:id="35"/>
    <w:bookmarkStart w:id="36"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(2 repeats of 5-fold cross validation) on the full data set to select a single best model configuration for the full model. The final configuration selected represents the most reliable and robust configuration for deployment. We then fit this best model on our full data set using single 5-fold cross-validation. This method allowed us to obtain a single predicted probability for each observation, while still using separate data for model training and prediction.</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6"/>
    <w:bookmarkEnd w:id="37"/>
    <w:bookmarkStart w:id="38"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8"/>
    <w:bookmarkEnd w:id="39"/>
    <w:bookmarkEnd w:id="40"/>
    <w:bookmarkStart w:id="67" w:name="results"/>
    <w:p>
      <w:pPr>
        <w:pStyle w:val="Heading1"/>
      </w:pPr>
      <w:r>
        <w:t xml:space="preserve">Results</w:t>
      </w:r>
    </w:p>
    <w:bookmarkStart w:id="44"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1"/>
      </w:r>
      <w:r>
        <w:t xml:space="preserve">, 13 participants were excluded due to insufficient context data for geolocation points</w:t>
      </w:r>
      <w:r>
        <w:rPr>
          <w:rStyle w:val="FootnoteReference"/>
        </w:rPr>
        <w:footnoteReference w:id="42"/>
      </w:r>
      <w:r>
        <w:t xml:space="preserve">, 1 participant was excluded due to geolocation data indicating they were not residing in the United States, 11 participants were excluded due to evidence of careless responding on daily surveys and/or no longer having a goal of abstinence. Our final analysis sample consisted of 299 participants. All data exclusions are documented in more detail in the supplement.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107</w:t>
                  </w:r>
                </w:p>
              </w:tc>
              <w:tc>
                <w:tcPr/>
                <w:p>
                  <w:pPr>
                    <w:pStyle w:val="Compact"/>
                    <w:jc w:val="right"/>
                    <w:jc w:val="center"/>
                  </w:pPr>
                  <w:r>
                    <w:t xml:space="preserve">35.8</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20.1</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52.8</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44.8</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5.4</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79.3</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31.4</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22.1</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18.4</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36.8</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56.2</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9.4</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66.9</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193</w:t>
                  </w:r>
                </w:p>
              </w:tc>
              <w:tc>
                <w:tcPr/>
                <w:p>
                  <w:pPr>
                    <w:pStyle w:val="Compact"/>
                    <w:jc w:val="right"/>
                    <w:jc w:val="center"/>
                  </w:pPr>
                  <w:r>
                    <w:t xml:space="preserve">64.5</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35.1</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152</w:t>
                  </w:r>
                </w:p>
              </w:tc>
              <w:tc>
                <w:tcPr/>
                <w:p>
                  <w:pPr>
                    <w:pStyle w:val="Compact"/>
                    <w:jc w:val="right"/>
                    <w:jc w:val="center"/>
                  </w:pPr>
                  <w:r>
                    <w:t xml:space="preserve">50.8</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48.8</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119</w:t>
                  </w:r>
                </w:p>
              </w:tc>
              <w:tc>
                <w:tcPr/>
                <w:p>
                  <w:pPr>
                    <w:pStyle w:val="Compact"/>
                    <w:jc w:val="right"/>
                    <w:jc w:val="center"/>
                  </w:pPr>
                  <w:r>
                    <w:t xml:space="preserve">39.8</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31.8</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34.4</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27.8</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41.5</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23.7</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12.4</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299</w:t>
                  </w:r>
                </w:p>
              </w:tc>
              <w:tc>
                <w:tcPr/>
                <w:p>
                  <w:pPr>
                    <w:pStyle w:val="Compact"/>
                  </w:pPr>
                </w:p>
              </w:tc>
              <w:tc>
                <w:tcPr/>
                <w:p>
                  <w:pPr>
                    <w:pStyle w:val="Compact"/>
                  </w:pPr>
                </w:p>
              </w:tc>
            </w:tr>
          </w:tbl>
          <w:bookmarkEnd w:id="43"/>
          <w:p/>
        </w:tc>
      </w:tr>
    </w:tbl>
    <w:bookmarkEnd w:id="44"/>
    <w:bookmarkStart w:id="45" w:name="adherence-features-and-labels"/>
    <w:p>
      <w:pPr>
        <w:pStyle w:val="Heading2"/>
      </w:pPr>
      <w:r>
        <w:t xml:space="preserve">Adherence, Features, and Labels</w:t>
      </w:r>
    </w:p>
    <w:p>
      <w:pPr>
        <w:pStyle w:val="FirstParagraph"/>
      </w:pPr>
      <w:r>
        <w:t xml:space="preserve">Mean days on study across participants was 297 days (range 32-395 days). 83% of participants (249/299) remained on study for at least six months. Daily survey adherence was high. On average participants completed 73% of the daily survey prompts (range 24-100%). Participants provided, on average, 311 daily geolocation points (range 20-825).</w:t>
      </w:r>
    </w:p>
    <w:p>
      <w:pPr>
        <w:pStyle w:val="BodyText"/>
      </w:pPr>
      <w:r>
        <w:t xml:space="preserve">Our final feature set consisted of 674 features. The proportion of missing values across features was low (mean=.02, range = 0-.11). Across participants we generated a total of 88,607 day-level labels. Training sets (N=30) had, on average, 70886 labels (range 69025-73129) from 239 participants (range 239-240). Forty percent of participants (119/299) reported an opioid lapse while on study (mean=5.36, range 0-76). This resulted in 1.81% of the labels positive for lapse (1,603/88,607 labels). We stratified the data on a variable of whether someone lapsed on study to ensure our imbalanced outcome was evenly split over folds (mean=.018, range =.016-.020).</w:t>
      </w:r>
    </w:p>
    <w:bookmarkEnd w:id="45"/>
    <w:bookmarkStart w:id="51"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rPr>
          <w:rStyle w:val="FootnoteReference"/>
        </w:rPr>
        <w:footnoteReference w:id="46"/>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daily survey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education (probability = 0.55) and strong evidence that performance differed by gender, income, race and ethnicity, and geographic location (probabilities &gt; 0.90).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334000" cy="3809999"/>
                  <wp:effectExtent b="0" l="0" r="0" t="0"/>
                  <wp:docPr descr="" title="" id="48" name="Picture"/>
                  <a:graphic>
                    <a:graphicData uri="http://schemas.openxmlformats.org/drawingml/2006/picture">
                      <pic:pic>
                        <pic:nvPicPr>
                          <pic:cNvPr descr="index_files/figure-docx/notebooks-mak_figures-fig-1-output-1.png" id="49" name="Picture"/>
                          <pic:cNvPicPr>
                            <a:picLocks noChangeArrowheads="1" noChangeAspect="1"/>
                          </pic:cNvPicPr>
                        </pic:nvPicPr>
                        <pic:blipFill>
                          <a:blip r:embed="rId47"/>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50"/>
        </w:tc>
      </w:tr>
    </w:tbl>
    <w:bookmarkEnd w:id="51"/>
    <w:bookmarkStart w:id="56" w:name="calibration-and-overall-performance-1"/>
    <w:p>
      <w:pPr>
        <w:pStyle w:val="Heading2"/>
      </w:pPr>
      <w:r>
        <w:t xml:space="preserve">Calibration and Overall Performance</w:t>
      </w:r>
    </w:p>
    <w:p>
      <w:pPr>
        <w:pStyle w:val="FirstParagraph"/>
      </w:pPr>
      <w:r>
        <w:t xml:space="preserve">The full model produced generally well-calibrated raw probabilities (brier score = 0.015). We attempted to improve calibration with Platt scaling and results were comparable (brier score = 0.015). A Calibration plot revealed our raw model predictions tended to systematically overpredict risk probabilities (</w:t>
      </w:r>
      <w:hyperlink w:anchor="fig-2">
        <w:r>
          <w:rPr>
            <w:rStyle w:val="Hyperlink"/>
          </w:rPr>
          <w:t xml:space="preserve">Figure 2</w:t>
        </w:r>
      </w:hyperlink>
      <w:r>
        <w:t xml:space="preserve">). Platt scaling appeared to produce probabilities closer to the ideal line were predicted probabilities perfectly match observed rates.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333375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5"/>
        </w:tc>
      </w:tr>
    </w:tbl>
    <w:bookmarkEnd w:id="56"/>
    <w:bookmarkStart w:id="66"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bookmarkStart w:id="60" w:name="fig-3"/>
            <w:r>
              <w:drawing>
                <wp:inline>
                  <wp:extent cx="5334000" cy="3333750"/>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bookmarkEnd w:id="60"/>
          </w:p>
          <w:p>
            <w:pPr>
              <w:jc w:val="center"/>
            </w:pPr>
            <w:pPr>
              <w:jc w:val="start"/>
              <w:spacing w:before="200"/>
              <w:pStyle w:val="ImageCaption"/>
            </w:pPr>
            <w:r>
              <w:t xml:space="preserve">Figure 3</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5"/>
        </w:tc>
      </w:tr>
    </w:tbl>
    <w:bookmarkEnd w:id="66"/>
    <w:bookmarkEnd w:id="67"/>
    <w:bookmarkStart w:id="68"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8"/>
    <w:bookmarkStart w:id="106" w:name="references"/>
    <w:p>
      <w:pPr>
        <w:pStyle w:val="Heading1"/>
      </w:pPr>
      <w:r>
        <w:t xml:space="preserve">References</w:t>
      </w:r>
    </w:p>
    <w:bookmarkStart w:id="105" w:name="refs"/>
    <w:bookmarkStart w:id="69"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9"/>
    <w:bookmarkStart w:id="7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0">
        <w:r>
          <w:rPr>
            <w:rStyle w:val="Hyperlink"/>
          </w:rPr>
          <w:t xml:space="preserve">https://doi.org/10.21231/GNT1-HW21</w:t>
        </w:r>
      </w:hyperlink>
    </w:p>
    <w:bookmarkEnd w:id="71"/>
    <w:bookmarkStart w:id="7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2">
        <w:r>
          <w:rPr>
            <w:rStyle w:val="Hyperlink"/>
          </w:rPr>
          <w:t xml:space="preserve">https://doi.org/10.1136/bmj-2023-078378</w:t>
        </w:r>
      </w:hyperlink>
    </w:p>
    <w:bookmarkEnd w:id="73"/>
    <w:bookmarkStart w:id="7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74"/>
    <w:bookmarkStart w:id="7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5"/>
    <w:bookmarkStart w:id="7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76">
        <w:r>
          <w:rPr>
            <w:rStyle w:val="Hyperlink"/>
          </w:rPr>
          <w:t xml:space="preserve">https://doi.org/10.1016/j.drugalcdep.2006.05.012</w:t>
        </w:r>
      </w:hyperlink>
    </w:p>
    <w:bookmarkEnd w:id="77"/>
    <w:bookmarkStart w:id="7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78">
        <w:r>
          <w:rPr>
            <w:rStyle w:val="Hyperlink"/>
          </w:rPr>
          <w:t xml:space="preserve">https://doi.org/10.1001/jamapsychiatry.2013.4642</w:t>
        </w:r>
      </w:hyperlink>
    </w:p>
    <w:bookmarkEnd w:id="79"/>
    <w:bookmarkStart w:id="8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0"/>
    <w:bookmarkStart w:id="8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81">
        <w:r>
          <w:rPr>
            <w:rStyle w:val="Hyperlink"/>
          </w:rPr>
          <w:t xml:space="preserve">https://doi.org/10.1001/jamanetworkopen.2020.5852</w:t>
        </w:r>
      </w:hyperlink>
    </w:p>
    <w:bookmarkEnd w:id="82"/>
    <w:bookmarkStart w:id="83"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83"/>
    <w:bookmarkStart w:id="84"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84"/>
    <w:bookmarkStart w:id="8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85"/>
    <w:bookmarkStart w:id="87"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86">
        <w:r>
          <w:rPr>
            <w:rStyle w:val="Hyperlink"/>
          </w:rPr>
          <w:t xml:space="preserve">https://doi.org/10.1177/00333549211041554</w:t>
        </w:r>
      </w:hyperlink>
    </w:p>
    <w:bookmarkEnd w:id="87"/>
    <w:bookmarkStart w:id="89"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88">
        <w:r>
          <w:rPr>
            <w:rStyle w:val="Hyperlink"/>
          </w:rPr>
          <w:t xml:space="preserve">https://doi.org/10.1097/00005650-198601000-00007</w:t>
        </w:r>
      </w:hyperlink>
    </w:p>
    <w:bookmarkEnd w:id="89"/>
    <w:bookmarkStart w:id="9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0">
        <w:r>
          <w:rPr>
            <w:rStyle w:val="Hyperlink"/>
          </w:rPr>
          <w:t xml:space="preserve">https://doi.org/10.2196/29563</w:t>
        </w:r>
      </w:hyperlink>
    </w:p>
    <w:bookmarkEnd w:id="91"/>
    <w:bookmarkStart w:id="9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92">
        <w:r>
          <w:rPr>
            <w:rStyle w:val="Hyperlink"/>
          </w:rPr>
          <w:t xml:space="preserve">https://doi.org/10.1016/j.jsat.2021.108710</w:t>
        </w:r>
      </w:hyperlink>
    </w:p>
    <w:bookmarkEnd w:id="93"/>
    <w:bookmarkStart w:id="9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94">
        <w:r>
          <w:rPr>
            <w:rStyle w:val="Hyperlink"/>
          </w:rPr>
          <w:t xml:space="preserve">https://doi.org/10.1016/j.drugalcdep.2019.05.017</w:t>
        </w:r>
      </w:hyperlink>
    </w:p>
    <w:bookmarkEnd w:id="95"/>
    <w:bookmarkStart w:id="9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96"/>
    <w:bookmarkStart w:id="98" w:name="X764a8ae6a9d716e5f94f6ec4ff4497acd40eaba"/>
    <w:p>
      <w:pPr>
        <w:pStyle w:val="Bibliography"/>
      </w:pPr>
      <w:r>
        <w:t xml:space="preserve">Qeadan, F., Shimizu, S., Thornquist, R., &amp; Markossian, T. (2025). Demographic and socioeconomic factors influencing the adoption of telehealth services for substance use treatment.</w:t>
      </w:r>
      <w:r>
        <w:t xml:space="preserve"> </w:t>
      </w:r>
      <w:r>
        <w:rPr>
          <w:i/>
          <w:iCs/>
        </w:rPr>
        <w:t xml:space="preserve">BMC Public Health</w:t>
      </w:r>
      <w:r>
        <w:t xml:space="preserve">,</w:t>
      </w:r>
      <w:r>
        <w:t xml:space="preserve"> </w:t>
      </w:r>
      <w:r>
        <w:rPr>
          <w:i/>
          <w:iCs/>
        </w:rPr>
        <w:t xml:space="preserve">25</w:t>
      </w:r>
      <w:r>
        <w:t xml:space="preserve">(1), 4001.</w:t>
      </w:r>
      <w:r>
        <w:t xml:space="preserve"> </w:t>
      </w:r>
      <w:hyperlink r:id="rId97">
        <w:r>
          <w:rPr>
            <w:rStyle w:val="Hyperlink"/>
          </w:rPr>
          <w:t xml:space="preserve">https://doi.org/10.1186/s12889-025-25274-8</w:t>
        </w:r>
      </w:hyperlink>
    </w:p>
    <w:bookmarkEnd w:id="98"/>
    <w:bookmarkStart w:id="100" w:name="X1dcaef79e83943a2b38a468165b53124be7bbd5"/>
    <w:p>
      <w:pPr>
        <w:pStyle w:val="Bibliography"/>
      </w:pPr>
      <w:r>
        <w:t xml:space="preserve">Townsend, L., Flisher, A. J., &amp; King, G. (2007). A</w:t>
      </w:r>
      <w:r>
        <w:t xml:space="preserve"> </w:t>
      </w:r>
      <w:r>
        <w:t xml:space="preserve">Systematic Review</w:t>
      </w:r>
      <w:r>
        <w:t xml:space="preserve"> </w:t>
      </w:r>
      <w:r>
        <w:t xml:space="preserve">of the</w:t>
      </w:r>
      <w:r>
        <w:t xml:space="preserve"> </w:t>
      </w:r>
      <w:r>
        <w:t xml:space="preserve">Relationship</w:t>
      </w:r>
      <w:r>
        <w:t xml:space="preserve"> </w:t>
      </w:r>
      <w:r>
        <w:t xml:space="preserve">between</w:t>
      </w:r>
      <w:r>
        <w:t xml:space="preserve"> </w:t>
      </w:r>
      <w:r>
        <w:t xml:space="preserve">High School Dropout</w:t>
      </w:r>
      <w:r>
        <w:t xml:space="preserve"> </w:t>
      </w:r>
      <w:r>
        <w:t xml:space="preserve">and</w:t>
      </w:r>
      <w:r>
        <w:t xml:space="preserve"> </w:t>
      </w:r>
      <w:r>
        <w:t xml:space="preserve">Substance Use</w:t>
      </w:r>
      <w:r>
        <w:t xml:space="preserve">.</w:t>
      </w:r>
      <w:r>
        <w:t xml:space="preserve"> </w:t>
      </w:r>
      <w:r>
        <w:rPr>
          <w:i/>
          <w:iCs/>
        </w:rPr>
        <w:t xml:space="preserve">Clinical Child and Family Psychology Review</w:t>
      </w:r>
      <w:r>
        <w:t xml:space="preserve">,</w:t>
      </w:r>
      <w:r>
        <w:t xml:space="preserve"> </w:t>
      </w:r>
      <w:r>
        <w:rPr>
          <w:i/>
          <w:iCs/>
        </w:rPr>
        <w:t xml:space="preserve">10</w:t>
      </w:r>
      <w:r>
        <w:t xml:space="preserve">(4), 295–317.</w:t>
      </w:r>
      <w:r>
        <w:t xml:space="preserve"> </w:t>
      </w:r>
      <w:hyperlink r:id="rId99">
        <w:r>
          <w:rPr>
            <w:rStyle w:val="Hyperlink"/>
          </w:rPr>
          <w:t xml:space="preserve">https://doi.org/10.1007/s10567-007-0023-7</w:t>
        </w:r>
      </w:hyperlink>
    </w:p>
    <w:bookmarkEnd w:id="100"/>
    <w:bookmarkStart w:id="102"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1">
        <w:r>
          <w:rPr>
            <w:rStyle w:val="Hyperlink"/>
          </w:rPr>
          <w:t xml:space="preserve">https://doi.org/10.1016/j.landig.2025.100916</w:t>
        </w:r>
      </w:hyperlink>
    </w:p>
    <w:bookmarkEnd w:id="102"/>
    <w:bookmarkStart w:id="104"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3">
        <w:r>
          <w:rPr>
            <w:rStyle w:val="Hyperlink"/>
          </w:rPr>
          <w:t xml:space="preserve">https://doi.org/10.1016/j.artmed.2020.101987</w:t>
        </w:r>
      </w:hyperlink>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We did not include age in our fairness analyses due to an underrepresentation of the disadvantaged group (65+ years).</w:t>
      </w:r>
    </w:p>
  </w:footnote>
  <w:footnote w:id="41">
    <w:p>
      <w:pPr>
        <w:pStyle w:val="FootnoteText"/>
      </w:pPr>
      <w:r>
        <w:rPr>
          <w:rStyle w:val="FootnoteReference"/>
        </w:rPr>
        <w:footnoteRef/>
      </w:r>
      <w:r>
        <w:t xml:space="preserve"> </w:t>
      </w:r>
      <w:r>
        <w:t xml:space="preserve">One participant completed only 3 daily survey prompts over 88 days and 10 participants had fewer than 20 geolocation points per day on average.</w:t>
      </w:r>
    </w:p>
  </w:footnote>
  <w:footnote w:id="42">
    <w:p>
      <w:pPr>
        <w:pStyle w:val="FootnoteText"/>
      </w:pPr>
      <w:r>
        <w:rPr>
          <w:rStyle w:val="FootnoteReference"/>
        </w:rPr>
        <w:footnoteRef/>
      </w:r>
      <w:r>
        <w:t xml:space="preserve"> </w:t>
      </w:r>
      <w:r>
        <w:t xml:space="preserve">We required participants have at least two contextualized locations other than their home.</w:t>
      </w:r>
    </w:p>
  </w:footnote>
  <w:footnote w:id="46">
    <w:p>
      <w:pPr>
        <w:pStyle w:val="FootnoteText"/>
      </w:pPr>
      <w:r>
        <w:rPr>
          <w:rStyle w:val="FootnoteReference"/>
        </w:rPr>
        <w:footnoteRef/>
      </w:r>
      <w:r>
        <w:t xml:space="preserve"> </w:t>
      </w:r>
      <w:r>
        <w:t xml:space="preserve">The best model configuration used 1:1 upsampling of the minority class and the following hyperparameter values: learning rate = .01, tree depth = 5,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81" Target="https://doi.org/10.1001/jamanetworkopen.2020.5852" TargetMode="External" /><Relationship Type="http://schemas.openxmlformats.org/officeDocument/2006/relationships/hyperlink" Id="rId78" Target="https://doi.org/10.1001/jamapsychiatry.2013.4642" TargetMode="External" /><Relationship Type="http://schemas.openxmlformats.org/officeDocument/2006/relationships/hyperlink" Id="rId99" Target="https://doi.org/10.1007/s10567-007-0023-7" TargetMode="External" /><Relationship Type="http://schemas.openxmlformats.org/officeDocument/2006/relationships/hyperlink" Id="rId103" Target="https://doi.org/10.1016/j.artmed.2020.101987" TargetMode="External" /><Relationship Type="http://schemas.openxmlformats.org/officeDocument/2006/relationships/hyperlink" Id="rId76" Target="https://doi.org/10.1016/j.drugalcdep.2006.05.012" TargetMode="External" /><Relationship Type="http://schemas.openxmlformats.org/officeDocument/2006/relationships/hyperlink" Id="rId94" Target="https://doi.org/10.1016/j.drugalcdep.2019.05.017" TargetMode="External" /><Relationship Type="http://schemas.openxmlformats.org/officeDocument/2006/relationships/hyperlink" Id="rId92" Target="https://doi.org/10.1016/j.jsat.2021.108710" TargetMode="External" /><Relationship Type="http://schemas.openxmlformats.org/officeDocument/2006/relationships/hyperlink" Id="rId101" Target="https://doi.org/10.1016/j.landig.2025.100916" TargetMode="External" /><Relationship Type="http://schemas.openxmlformats.org/officeDocument/2006/relationships/hyperlink" Id="rId88" Target="https://doi.org/10.1097/00005650-198601000-00007" TargetMode="External" /><Relationship Type="http://schemas.openxmlformats.org/officeDocument/2006/relationships/hyperlink" Id="rId72"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97" Target="https://doi.org/10.1186/s12889-025-25274-8" TargetMode="External" /><Relationship Type="http://schemas.openxmlformats.org/officeDocument/2006/relationships/hyperlink" Id="rId70" Target="https://doi.org/10.21231/GNT1-HW21" TargetMode="External" /><Relationship Type="http://schemas.openxmlformats.org/officeDocument/2006/relationships/hyperlink" Id="rId90"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78" Target="https://doi.org/10.1001/jamapsychiatry.2013.4642" TargetMode="External" /><Relationship Type="http://schemas.openxmlformats.org/officeDocument/2006/relationships/hyperlink" Id="rId99" Target="https://doi.org/10.1007/s10567-007-0023-7" TargetMode="External" /><Relationship Type="http://schemas.openxmlformats.org/officeDocument/2006/relationships/hyperlink" Id="rId103" Target="https://doi.org/10.1016/j.artmed.2020.101987" TargetMode="External" /><Relationship Type="http://schemas.openxmlformats.org/officeDocument/2006/relationships/hyperlink" Id="rId76" Target="https://doi.org/10.1016/j.drugalcdep.2006.05.012" TargetMode="External" /><Relationship Type="http://schemas.openxmlformats.org/officeDocument/2006/relationships/hyperlink" Id="rId94" Target="https://doi.org/10.1016/j.drugalcdep.2019.05.017" TargetMode="External" /><Relationship Type="http://schemas.openxmlformats.org/officeDocument/2006/relationships/hyperlink" Id="rId92" Target="https://doi.org/10.1016/j.jsat.2021.108710" TargetMode="External" /><Relationship Type="http://schemas.openxmlformats.org/officeDocument/2006/relationships/hyperlink" Id="rId101" Target="https://doi.org/10.1016/j.landig.2025.100916" TargetMode="External" /><Relationship Type="http://schemas.openxmlformats.org/officeDocument/2006/relationships/hyperlink" Id="rId88" Target="https://doi.org/10.1097/00005650-198601000-00007" TargetMode="External" /><Relationship Type="http://schemas.openxmlformats.org/officeDocument/2006/relationships/hyperlink" Id="rId72" Target="https://doi.org/10.1136/bmj-2023-078378" TargetMode="External" /><Relationship Type="http://schemas.openxmlformats.org/officeDocument/2006/relationships/hyperlink" Id="rId86" Target="https://doi.org/10.1177/00333549211041554" TargetMode="External" /><Relationship Type="http://schemas.openxmlformats.org/officeDocument/2006/relationships/hyperlink" Id="rId97" Target="https://doi.org/10.1186/s12889-025-25274-8" TargetMode="External" /><Relationship Type="http://schemas.openxmlformats.org/officeDocument/2006/relationships/hyperlink" Id="rId70" Target="https://doi.org/10.21231/GNT1-HW21" TargetMode="External" /><Relationship Type="http://schemas.openxmlformats.org/officeDocument/2006/relationships/hyperlink" Id="rId90" Target="https://doi.org/10.2196/29563"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2026-01-22T17:30:15Z</dcterms:created>
  <dcterms:modified xsi:type="dcterms:W3CDTF">2026-01-22T17:30:15Z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2026-01-22</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