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8.png" ContentType="image/png"/>
  <Override PartName="/word/media/rId54.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2026-05-30</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the majority of individuals with OUD do not receive treatment.</w:t>
      </w:r>
    </w:p>
    <w:p>
      <w:pPr>
        <w:pStyle w:val="BodyText"/>
      </w:pPr>
      <w:r>
        <w:t xml:space="preserve">These low rates of treatment initiation are concerning, however,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w:t>
      </w:r>
    </w:p>
    <w:p>
      <w:pPr>
        <w:pStyle w:val="BodyText"/>
      </w:pPr>
      <w:r>
        <w:t xml:space="preserve">As in other healthcare domains, disparities in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lack of support)</w:t>
      </w:r>
      <w:r>
        <w:t xml:space="preserve"> </w:t>
      </w:r>
      <w:r>
        <w:t xml:space="preserve">(Greenfield et al., 2007; Kilaru et al., 2020; Lister et al., 2020; McHugh et al., 2018; Parlier-Ahmad et al., 2021; Sigmon, 2014; Wood et al., 2019)</w:t>
      </w:r>
      <w:r>
        <w:t xml:space="preserve">. Marginalized groups, such as racial, ethnic, and sexual minorities may additionally experience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p>
      <w:pPr>
        <w:pStyle w:val="BodyText"/>
      </w:pPr>
      <w:r>
        <w:t xml:space="preserve">Opioid lapses are particularly high-risk events. Reduced opioid tolerance (e.g., after a period of abstinence) and the increasing prevalence of fentanyl and other synthetic opioids in the drug supply substantially increase the likelihood of fatal overdose. 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w:t>
      </w:r>
    </w:p>
    <w:p>
      <w:pPr>
        <w:pStyle w:val="BodyText"/>
      </w:pPr>
      <w:r>
        <w:t xml:space="preserve">However, OUD does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An algorithm‑guided recovery monitoring and support system could help individuals monitor their lapse risk by automating the delivery of risk-relevant feedback (e.g., what their lapse risk is and why). Advances in smartphone sensing methods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understand the most important features contributing to prediction for a given individual at a given moment in time</w:t>
      </w:r>
      <w:r>
        <w:t xml:space="preserve"> </w:t>
      </w:r>
      <w:r>
        <w:t xml:space="preserve">(Lundberg &amp; Lee, 2017)</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Importantly, a monitoring system that performs fairly (i.e., the accuracy of the predictions and clinical benefit of the system is similar for everyone)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individuals in early recovery from OUD receiving MOUD, ensuring that the study sample closely reflected the intended clinical population for our model. Fourth, we explicitly evaluated model performance across demographic subgroups to assess algorithmic fairness. Finally, we identified the most important predictors using two complementary descriptive approaches, providing insight into the features that drive lapse risk predictions.</w:t>
      </w:r>
    </w:p>
    <w:bookmarkEnd w:id="10"/>
    <w:bookmarkStart w:id="32" w:name="methods"/>
    <w:p>
      <w:pPr>
        <w:pStyle w:val="Heading1"/>
      </w:pPr>
      <w:r>
        <w:t xml:space="preserve">Methods</w:t>
      </w:r>
    </w:p>
    <w:bookmarkStart w:id="1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1">
        <w:r>
          <w:rPr>
            <w:rStyle w:val="Hyperlink"/>
          </w:rPr>
          <w:t xml:space="preserve">https://osf.io/zvm7s/overview</w:t>
        </w:r>
      </w:hyperlink>
      <w:r>
        <w:t xml:space="preserve">) and our annotated analysis scripts and results are publicly available on our study website (</w:t>
      </w:r>
      <w:hyperlink r:id="rId12">
        <w:r>
          <w:rPr>
            <w:rStyle w:val="Hyperlink"/>
          </w:rPr>
          <w:t xml:space="preserve">https://jjcurtin.github.io/study_risk2/</w:t>
        </w:r>
      </w:hyperlink>
      <w:r>
        <w:t xml:space="preserve">).</w:t>
      </w:r>
      <w:r>
        <w:t xml:space="preserve"> </w:t>
      </w:r>
    </w:p>
    <w:bookmarkEnd w:id="13"/>
    <w:bookmarkStart w:id="14"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4"/>
    <w:bookmarkStart w:id="17"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5"/>
      </w:r>
      <w:r>
        <w:t xml:space="preserve">, and $5 per month for sharing geolocation data.</w:t>
      </w:r>
      <w:r>
        <w:rPr>
          <w:rStyle w:val="FootnoteReference"/>
        </w:rPr>
        <w:footnoteReference w:id="16"/>
      </w:r>
      <w:r>
        <w:t xml:space="preserve"> </w:t>
      </w:r>
      <w:r>
        <w:t xml:space="preserve">Participants were also paid $50 per month to offset the cost of maintaining a cellphone data plan.</w:t>
      </w:r>
    </w:p>
    <w:bookmarkEnd w:id="17"/>
    <w:bookmarkStart w:id="21" w:name="measures"/>
    <w:p>
      <w:pPr>
        <w:pStyle w:val="Heading2"/>
      </w:pPr>
      <w:r>
        <w:t xml:space="preserve">Measures</w:t>
      </w:r>
    </w:p>
    <w:bookmarkStart w:id="18"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8"/>
    <w:bookmarkStart w:id="19"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in the past 24 hours,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19"/>
    <w:bookmarkStart w:id="20"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from the previous month (i.e., locations that the participant spent more than 3 minutes at 2 or more times in a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20"/>
    <w:bookmarkEnd w:id="21"/>
    <w:bookmarkStart w:id="3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2"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feature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combinations of ablated sensing data type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2"/>
    <w:bookmarkStart w:id="23"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a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3"/>
    <w:bookmarkStart w:id="24"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at least once while on study.</w:t>
      </w:r>
    </w:p>
    <w:bookmarkEnd w:id="24"/>
    <w:bookmarkStart w:id="25"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25"/>
    <w:bookmarkStart w:id="2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followed best practices for reporting performance metrics and using visualizations to characterize model performance across these domains</w:t>
      </w:r>
      <w:r>
        <w:t xml:space="preserve"> </w:t>
      </w:r>
      <w:r>
        <w:t xml:space="preserve">(Van Calster et al., 2025)</w:t>
      </w:r>
      <w:r>
        <w:t xml:space="preserve">.</w:t>
      </w:r>
    </w:p>
    <w:bookmarkStart w:id="27" w:name="auroc-and-model-comparisons"/>
    <w:p>
      <w:pPr>
        <w:pStyle w:val="Heading4"/>
      </w:pPr>
      <w:r>
        <w:t xml:space="preserve">auROC and Model Comparisons</w:t>
      </w:r>
    </w:p>
    <w:p>
      <w:pPr>
        <w:pStyle w:val="FirstParagraph"/>
      </w:pPr>
      <w:r>
        <w:t xml:space="preserve">Our performance metric for model selection and evaluation was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ablated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t>
      </w:r>
      <w:r>
        <w:rPr>
          <w:rStyle w:val="FootnoteReference"/>
        </w:rPr>
        <w:footnoteReference w:id="26"/>
      </w:r>
      <w:r>
        <w:t xml:space="preserve"> </w:t>
      </w:r>
      <w:r>
        <w:t xml:space="preserve">We conducted Bayesian group comparisons to assess the likelihood that each model performs differently by group.</w:t>
      </w:r>
    </w:p>
    <w:bookmarkEnd w:id="27"/>
    <w:bookmarkStart w:id="28" w:name="calibration-and-overall-performance"/>
    <w:p>
      <w:pPr>
        <w:pStyle w:val="Heading4"/>
      </w:pPr>
      <w:r>
        <w:t xml:space="preserve">Calibration and Overall Performance</w:t>
      </w:r>
    </w:p>
    <w:p>
      <w:pPr>
        <w:pStyle w:val="FirstParagraph"/>
      </w:pPr>
      <w:r>
        <w:t xml:space="preserve">To further evaluate the accuracy of the full model’s predictions, we used our inner resampling procedure (1 repeat of 5-fold cross validation) on the full data set to select and fit a single best model configuration.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raw and calibrated risk probability distributions by true lapse outcome.</w:t>
      </w:r>
    </w:p>
    <w:bookmarkEnd w:id="28"/>
    <w:bookmarkEnd w:id="29"/>
    <w:bookmarkStart w:id="3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w:t>
      </w:r>
    </w:p>
    <w:p>
      <w:pPr>
        <w:pStyle w:val="BodyText"/>
      </w:pPr>
      <w:r>
        <w:t xml:space="preserve">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increased lapse risk and lower values suggest the feature decreased lapse risk. Shapley values are inherently additive. For any observation, Shapley values can be summed to create a total adjustment score for the predicted value. We created feature categories by collapsing features that differed only by feature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0"/>
    <w:bookmarkEnd w:id="31"/>
    <w:bookmarkEnd w:id="32"/>
    <w:bookmarkStart w:id="66" w:name="results"/>
    <w:p>
      <w:pPr>
        <w:pStyle w:val="Heading1"/>
      </w:pPr>
      <w:r>
        <w:t xml:space="preserve">Results</w:t>
      </w:r>
    </w:p>
    <w:bookmarkStart w:id="3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3"/>
      </w:r>
      <w:r>
        <w:t xml:space="preserve"> </w:t>
      </w:r>
      <w:r>
        <w:t xml:space="preserve">Of these 330, 14 were excluded for not providing at least 28 days of EMA data with acceptable adherence</w:t>
      </w:r>
      <w:r>
        <w:rPr>
          <w:rStyle w:val="FootnoteReference"/>
        </w:rPr>
        <w:footnoteReference w:id="3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5"/>
          <w:p/>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All Tables for Main Manuscript</w:t>
        </w:r>
      </w:hyperlink>
    </w:p>
    <w:bookmarkEnd w:id="37"/>
    <w:bookmarkStart w:id="3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compared to daily survey features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38"/>
    <w:bookmarkStart w:id="4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4" w:name="fig-1"/>
          <w:p>
            <w:pPr>
              <w:pStyle w:val="Compact"/>
              <w:jc w:val="center"/>
            </w:pPr>
            <w:r>
              <w:drawing>
                <wp:inline>
                  <wp:extent cx="5334000" cy="3810000"/>
                  <wp:effectExtent b="0" l="0" r="0" t="0"/>
                  <wp:docPr descr="" title="" id="42" name="Picture"/>
                  <a:graphic>
                    <a:graphicData uri="http://schemas.openxmlformats.org/drawingml/2006/picture">
                      <pic:pic>
                        <pic:nvPicPr>
                          <pic:cNvPr descr="index_files/figure-docx/notebooks-mak_figures-fig-1-output-2.png" id="43" name="Picture"/>
                          <pic:cNvPicPr>
                            <a:picLocks noChangeArrowheads="1" noChangeAspect="1"/>
                          </pic:cNvPicPr>
                        </pic:nvPicPr>
                        <pic:blipFill>
                          <a:blip r:embed="rId4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4"/>
        </w:tc>
      </w:tr>
    </w:tbl>
    <w:p>
      <w:pPr>
        <w:pStyle w:val="BodyText"/>
      </w:pPr>
      <w:r>
        <w:rPr>
          <w:vertAlign w:val="subscript"/>
        </w:rPr>
        <w:t xml:space="preserve">Source:</w:t>
      </w:r>
      <w:r>
        <w:rPr>
          <w:vertAlign w:val="subscript"/>
        </w:rPr>
        <w:t xml:space="preserve"> </w:t>
      </w:r>
      <w:hyperlink r:id="rId45">
        <w:r>
          <w:rPr>
            <w:rStyle w:val="Hyperlink"/>
            <w:vertAlign w:val="subscript"/>
          </w:rPr>
          <w:t xml:space="preserve">Make Figures</w:t>
        </w:r>
      </w:hyperlink>
    </w:p>
    <w:bookmarkEnd w:id="46"/>
    <w:bookmarkStart w:id="5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47"/>
      </w:r>
      <w:r>
        <w:t xml:space="preserve"> </w:t>
      </w:r>
      <w:r>
        <w:t xml:space="preserve">This model produced generally well-calibrated raw probabilities (brier score = 0.014;</w:t>
      </w:r>
      <w:r>
        <w:t xml:space="preserve"> </w:t>
      </w:r>
      <w:hyperlink w:anchor="fig-2">
        <w:r>
          <w:rPr>
            <w:rStyle w:val="Hyperlink"/>
          </w:rPr>
          <w:t xml:space="preserve">Figure 2</w:t>
        </w:r>
      </w:hyperlink>
      <w:r>
        <w:t xml:space="preserve">). We attempted to improve calibration with Platt scaling and results were comparable (brier score = 0.014). Histograms of raw and calibrated risk probability distributions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fig-2"/>
          <w:p>
            <w:pPr>
              <w:pStyle w:val="Compact"/>
              <w:jc w:val="center"/>
            </w:pPr>
            <w:r>
              <w:drawing>
                <wp:inline>
                  <wp:extent cx="5334000" cy="6096000"/>
                  <wp:effectExtent b="0" l="0" r="0" t="0"/>
                  <wp:docPr descr="" title="" id="49" name="Picture"/>
                  <a:graphic>
                    <a:graphicData uri="http://schemas.openxmlformats.org/drawingml/2006/picture">
                      <pic:pic>
                        <pic:nvPicPr>
                          <pic:cNvPr descr="index_files/figure-docx/notebooks-mak_figures-fig-2-output-1.png" id="50" name="Picture"/>
                          <pic:cNvPicPr>
                            <a:picLocks noChangeArrowheads="1" noChangeAspect="1"/>
                          </pic:cNvPicPr>
                        </pic:nvPicPr>
                        <pic:blipFill>
                          <a:blip r:embed="rId48"/>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Figures</w:t>
        </w:r>
      </w:hyperlink>
    </w:p>
    <w:bookmarkEnd w:id="53"/>
    <w:bookmarkStart w:id="6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category (i.e., largest magnitude of change in log-odds) was differences in past opioid use. This feature category was over two-fold times more important than the next most important feature category, raw urge ratings.</w:t>
      </w:r>
      <w:r>
        <w:t xml:space="preserve"> </w:t>
      </w:r>
      <w:hyperlink w:anchor="fig-3">
        <w:r>
          <w:rPr>
            <w:rStyle w:val="Hyperlink"/>
          </w:rPr>
          <w:t xml:space="preserve">Figure 3</w:t>
        </w:r>
      </w:hyperlink>
      <w:r>
        <w:t xml:space="preserve"> </w:t>
      </w:r>
      <w:r>
        <w:t xml:space="preserve">displays the top 20 (out of 186) feature categories, as defined by the 20 largest absolute mean Shapley values. In the supplement, we provide a full figure containing all possible feature categories.</w:t>
      </w:r>
    </w:p>
    <w:p>
      <w:pPr>
        <w:pStyle w:val="BodyText"/>
      </w:pPr>
      <w:r>
        <w:t xml:space="preserve">We used a second approach where we calculated the proportion of observations in which each feature category had the highest Shapley value (i.e., largest magnitude and prevalence). This approach revealed the most important feature category to be raw urge ratings, followed by raw abstinence confidence ratings. Differences in past opioid use was the third most important feature category, suggesting that while it has a strong relationship with lapse risk, it is not as prevalent across observations as other feature categories. Notably, in this approach several additional comparably important feature categories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58" w:name="fig-3"/>
          <w:p>
            <w:pPr>
              <w:pStyle w:val="Compact"/>
              <w:jc w:val="center"/>
            </w:pPr>
            <w:bookmarkStart w:id="57" w:name="fig-3"/>
            <w:r>
              <w:drawing>
                <wp:inline>
                  <wp:extent cx="5334000" cy="3333749"/>
                  <wp:effectExtent b="0" l="0" r="0" t="0"/>
                  <wp:docPr descr="" title="" id="55" name="Picture"/>
                  <a:graphic>
                    <a:graphicData uri="http://schemas.openxmlformats.org/drawingml/2006/picture">
                      <pic:pic>
                        <pic:nvPicPr>
                          <pic:cNvPr descr="index_files/figure-docx/notebooks-mak_figures-fig-3-output-1.png" id="56" name="Picture"/>
                          <pic:cNvPicPr>
                            <a:picLocks noChangeArrowheads="1" noChangeAspect="1"/>
                          </pic:cNvPicPr>
                        </pic:nvPicPr>
                        <pic:blipFill>
                          <a:blip r:embed="rId54"/>
                          <a:stretch>
                            <a:fillRect/>
                          </a:stretch>
                        </pic:blipFill>
                        <pic:spPr bwMode="auto">
                          <a:xfrm>
                            <a:off x="0" y="0"/>
                            <a:ext cx="5334000" cy="3333749"/>
                          </a:xfrm>
                          <a:prstGeom prst="rect">
                            <a:avLst/>
                          </a:prstGeom>
                          <a:noFill/>
                          <a:ln w="9525">
                            <a:noFill/>
                            <a:headEnd/>
                            <a:tailEnd/>
                          </a:ln>
                        </pic:spPr>
                      </pic:pic>
                    </a:graphicData>
                  </a:graphic>
                </wp:inline>
              </w:drawing>
            </w:r>
            <w:bookmarkEnd w:id="57"/>
          </w:p>
          <w:p>
            <w:pPr>
              <w:jc w:val="center"/>
            </w:pPr>
            <w:pPr>
              <w:jc w:val="left"/>
              <w:spacing w:before="200"/>
              <w:pStyle w:val="ImageCaption"/>
            </w:pPr>
            <w:r>
              <w:t xml:space="preserve">Figure 3</w:t>
            </w:r>
          </w:p>
          <w:bookmarkEnd w:id="58"/>
        </w:tc>
      </w:tr>
    </w:tbl>
    <w:p>
      <w:pPr>
        <w:pStyle w:val="BodyText"/>
      </w:pPr>
      <w:r>
        <w:rPr>
          <w:vertAlign w:val="subscript"/>
        </w:rPr>
        <w:t xml:space="preserve">Source:</w:t>
      </w:r>
      <w:r>
        <w:rPr>
          <w:vertAlign w:val="subscript"/>
        </w:rPr>
        <w:t xml:space="preserve"> </w:t>
      </w:r>
      <w:hyperlink r:id="rId59">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20 feature categories (</w:t>
      </w:r>
      <w:hyperlink w:anchor="fig-4">
        <w:r>
          <w:rPr>
            <w:rStyle w:val="Hyperlink"/>
          </w:rPr>
          <w:t xml:space="preserve">Figure 4</w:t>
        </w:r>
      </w:hyperlink>
      <w:r>
        <w:t xml:space="preserve">). We briefly interpret the first four plots.</w:t>
      </w:r>
    </w:p>
    <w:p>
      <w:pPr>
        <w:pStyle w:val="BodyText"/>
      </w:pPr>
      <w:r>
        <w:t xml:space="preserve">The differences in past opioid use feature category showed lowered lapse risk probability for participants who did not lapse on study (i.e., a feature score of 0). However, positive differences in use (i.e., increased use over the past 24 and 168 hour feature scoring epochs compared to baseline use) notably increased lapse risk. Risk was relatively lower for participants who showed negative differences in use (i.e., reduced use over the past 24 and 168 hour feature scoring epochs compared to baseline use) compared to participants with positive differences, but it remained elevated compared to those who did not experience any lapses.</w:t>
      </w:r>
    </w:p>
    <w:p>
      <w:pPr>
        <w:pStyle w:val="BodyText"/>
      </w:pPr>
      <w:r>
        <w:t xml:space="preserve">Raw urge and abstinence confidence ratings had linear relationships to lapse risk, with higher urge ratings increasing lapse risk probability and higher abstinence confidence decreasing lapse risk probability.</w:t>
      </w:r>
    </w:p>
    <w:p>
      <w:pPr>
        <w:pStyle w:val="BodyText"/>
      </w:pPr>
      <w:r>
        <w:t xml:space="preserve">The differences in stimulant use feature category showed that participants were at highest risk when there were negative differences in use (i.e., decreased recent stimulant use compared to their baseline). Interestingly, there was only a modest increase in lapse risk when positive differences in stimulant use were observed, compared to individuals who did not use any stimulants while on study.</w:t>
      </w:r>
    </w:p>
    <w:tbl>
      <w:tblPr>
        <w:tblStyle w:val="Table"/>
        <w:tblW w:type="pct" w:w="5000"/>
        <w:tblLayout w:type="fixed"/>
        <w:tblLook w:firstRow="0" w:lastRow="0" w:firstColumn="0" w:lastColumn="0" w:noHBand="0" w:noVBand="0" w:val="0000"/>
      </w:tblPr>
      <w:tblGrid>
        <w:gridCol w:w="7920"/>
      </w:tblGrid>
      <w:tr>
        <w:tc>
          <w:tcPr/>
          <w:bookmarkStart w:id="63" w:name="fig-4"/>
          <w:p>
            <w:pPr>
              <w:pStyle w:val="Compact"/>
              <w:jc w:val="center"/>
            </w:pPr>
            <w:r>
              <w:drawing>
                <wp:inline>
                  <wp:extent cx="5334000" cy="7467600"/>
                  <wp:effectExtent b="0" l="0" r="0" t="0"/>
                  <wp:docPr descr="" title="" id="61" name="Picture"/>
                  <a:graphic>
                    <a:graphicData uri="http://schemas.openxmlformats.org/drawingml/2006/picture">
                      <pic:pic>
                        <pic:nvPicPr>
                          <pic:cNvPr descr="index_files/figure-docx/notebooks-mak_figures-fig-4-output-1.png" id="62" name="Picture"/>
                          <pic:cNvPicPr>
                            <a:picLocks noChangeArrowheads="1" noChangeAspect="1"/>
                          </pic:cNvPicPr>
                        </pic:nvPicPr>
                        <pic:blipFill>
                          <a:blip r:embed="rId6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Feature importance partial dependence plots.</w:t>
            </w:r>
          </w:p>
          <w:bookmarkEnd w:id="63"/>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Make Figures</w:t>
        </w:r>
      </w:hyperlink>
    </w:p>
    <w:bookmarkEnd w:id="65"/>
    <w:bookmarkEnd w:id="66"/>
    <w:bookmarkStart w:id="72" w:name="discussion"/>
    <w:p>
      <w:pPr>
        <w:pStyle w:val="Heading1"/>
      </w:pPr>
      <w:r>
        <w:t xml:space="preserve">Discussion</w:t>
      </w:r>
    </w:p>
    <w:bookmarkStart w:id="67" w:name="performance"/>
    <w:p>
      <w:pPr>
        <w:pStyle w:val="Heading2"/>
      </w:pPr>
      <w:r>
        <w:t xml:space="preserve">Performance</w:t>
      </w:r>
    </w:p>
    <w:p>
      <w:pPr>
        <w:pStyle w:val="FirstParagraph"/>
      </w:pPr>
      <w:r>
        <w:t xml:space="preserve">Our full model demonstrated that it is possible to predict future next-day lapses back to opioid use with high accuracy using smartphone sensing data (auROC = 0.94). Model predictions were well-calibrated, with estimated probabilities closely aligning with observed lapse rates. This is encouraging in that the lapse probabilities themselves, may provide clinically valuable and intuitive insight into lapse risk for individuals to use for self-monitoring during OUD recovery.</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67"/>
    <w:bookmarkStart w:id="68"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substance use prediction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Even in the best conditions where GPS points are accurate and stored locally on an individuals phone, the data must still be transmitted over an internet-connected app (at least daily) to be used as reliable features in the model. Therefore, in future work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68"/>
    <w:bookmarkStart w:id="69"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over two-fold times higher than the next most important feature. However,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past use does not become a risk factor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bookmarkEnd w:id="69"/>
    <w:bookmarkStart w:id="70"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Fourth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may be more important for lapse risk during early recovery, whereas pleasant events and location variance may become more important during extended recovery.</w:t>
      </w:r>
    </w:p>
    <w:p>
      <w:pPr>
        <w:pStyle w:val="BodyText"/>
      </w:pPr>
      <w:r>
        <w:t xml:space="preserve">Given that our participants remained in the study for up to one year. We may be able to test whether the accuracy of our model’s predictions or the magnitude of a feature’s contribution to those predictions, changes as a function of time in recovery in future work. For example, we could include a time-varying recovery feature, such as days since the most recent quit date or days since the last treatment episode, in our model. Because our best-performing models have been XGBoost, they can natively accommodate interactions between this recovery feature and other predictors. We could then assess whether model performance and the relative ordering of important features differ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70"/>
    <w:bookmarkStart w:id="71"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OUD suggests it represents a promising step toward future real‑world implementation and evaluation.</w:t>
      </w:r>
    </w:p>
    <w:bookmarkEnd w:id="71"/>
    <w:bookmarkEnd w:id="72"/>
    <w:bookmarkStart w:id="160" w:name="references"/>
    <w:p>
      <w:pPr>
        <w:pStyle w:val="Heading1"/>
      </w:pPr>
      <w:r>
        <w:t xml:space="preserve">References</w:t>
      </w:r>
    </w:p>
    <w:bookmarkStart w:id="159" w:name="refs"/>
    <w:bookmarkStart w:id="7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3"/>
    <w:bookmarkStart w:id="75"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4">
        <w:r>
          <w:rPr>
            <w:rStyle w:val="Hyperlink"/>
          </w:rPr>
          <w:t xml:space="preserve">https://doi.org/10.21231/GNT1-HW21</w:t>
        </w:r>
      </w:hyperlink>
    </w:p>
    <w:bookmarkEnd w:id="75"/>
    <w:bookmarkStart w:id="77"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76">
        <w:r>
          <w:rPr>
            <w:rStyle w:val="Hyperlink"/>
          </w:rPr>
          <w:t xml:space="preserve">https://doi.org/10.1016/j.drugalcdep.2014.10.004</w:t>
        </w:r>
      </w:hyperlink>
    </w:p>
    <w:bookmarkEnd w:id="77"/>
    <w:bookmarkStart w:id="79"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8">
        <w:r>
          <w:rPr>
            <w:rStyle w:val="Hyperlink"/>
          </w:rPr>
          <w:t xml:space="preserve">https://doi.org/10.1136/bmj-2023-078378</w:t>
        </w:r>
      </w:hyperlink>
    </w:p>
    <w:bookmarkEnd w:id="79"/>
    <w:bookmarkStart w:id="80"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0"/>
    <w:bookmarkStart w:id="82"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81">
        <w:r>
          <w:rPr>
            <w:rStyle w:val="Hyperlink"/>
          </w:rPr>
          <w:t xml:space="preserve">https://doi.org/10/ghqvcw</w:t>
        </w:r>
      </w:hyperlink>
    </w:p>
    <w:bookmarkEnd w:id="82"/>
    <w:bookmarkStart w:id="8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83">
        <w:r>
          <w:rPr>
            <w:rStyle w:val="Hyperlink"/>
          </w:rPr>
          <w:t xml:space="preserve">https://doi.org/10.1016/j.drugalcdep.2020.108350</w:t>
        </w:r>
      </w:hyperlink>
    </w:p>
    <w:bookmarkEnd w:id="84"/>
    <w:bookmarkStart w:id="8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85">
        <w:r>
          <w:rPr>
            <w:rStyle w:val="Hyperlink"/>
          </w:rPr>
          <w:t xml:space="preserve">https://doi.org/10.1080/10826084.2021.1899225</w:t>
        </w:r>
      </w:hyperlink>
    </w:p>
    <w:bookmarkEnd w:id="86"/>
    <w:bookmarkStart w:id="87"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7"/>
    <w:bookmarkStart w:id="89"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8">
        <w:r>
          <w:rPr>
            <w:rStyle w:val="Hyperlink"/>
          </w:rPr>
          <w:t xml:space="preserve">https://doi.org/10.1016/j.drugalcdep.2006.05.012</w:t>
        </w:r>
      </w:hyperlink>
    </w:p>
    <w:bookmarkEnd w:id="89"/>
    <w:bookmarkStart w:id="90"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90"/>
    <w:bookmarkStart w:id="92"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91">
        <w:r>
          <w:rPr>
            <w:rStyle w:val="Hyperlink"/>
          </w:rPr>
          <w:t xml:space="preserve">https://doi.org/10.1016/j.drugalcdep.2013.07.027</w:t>
        </w:r>
      </w:hyperlink>
    </w:p>
    <w:bookmarkEnd w:id="92"/>
    <w:bookmarkStart w:id="94"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93">
        <w:r>
          <w:rPr>
            <w:rStyle w:val="Hyperlink"/>
          </w:rPr>
          <w:t xml:space="preserve">https://doi.org/10.1001/jamapsychiatry.2013.4642</w:t>
        </w:r>
      </w:hyperlink>
    </w:p>
    <w:bookmarkEnd w:id="94"/>
    <w:bookmarkStart w:id="95"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95"/>
    <w:bookmarkStart w:id="97"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96">
        <w:r>
          <w:rPr>
            <w:rStyle w:val="Hyperlink"/>
          </w:rPr>
          <w:t xml:space="preserve">https://doi.org/10.1016/j.josat.2025.209685</w:t>
        </w:r>
      </w:hyperlink>
    </w:p>
    <w:bookmarkEnd w:id="97"/>
    <w:bookmarkStart w:id="99"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98">
        <w:r>
          <w:rPr>
            <w:rStyle w:val="Hyperlink"/>
          </w:rPr>
          <w:t xml:space="preserve">https://doi.org/10.1097/ADM.0000000000000312</w:t>
        </w:r>
      </w:hyperlink>
    </w:p>
    <w:bookmarkEnd w:id="99"/>
    <w:bookmarkStart w:id="101"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00">
        <w:r>
          <w:rPr>
            <w:rStyle w:val="Hyperlink"/>
          </w:rPr>
          <w:t xml:space="preserve">https://doi.org/10/gfsjzg</w:t>
        </w:r>
      </w:hyperlink>
    </w:p>
    <w:bookmarkEnd w:id="101"/>
    <w:bookmarkStart w:id="103"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02">
        <w:r>
          <w:rPr>
            <w:rStyle w:val="Hyperlink"/>
          </w:rPr>
          <w:t xml:space="preserve">https://doi.org/10.1001/jamanetworkopen.2020.5852</w:t>
        </w:r>
      </w:hyperlink>
    </w:p>
    <w:bookmarkEnd w:id="103"/>
    <w:bookmarkStart w:id="104"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04"/>
    <w:bookmarkStart w:id="105"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05"/>
    <w:bookmarkStart w:id="107"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06">
        <w:r>
          <w:rPr>
            <w:rStyle w:val="Hyperlink"/>
          </w:rPr>
          <w:t xml:space="preserve">https://doi.org/10.1017/S0033291724000862</w:t>
        </w:r>
      </w:hyperlink>
    </w:p>
    <w:bookmarkEnd w:id="107"/>
    <w:bookmarkStart w:id="109"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08">
        <w:r>
          <w:rPr>
            <w:rStyle w:val="Hyperlink"/>
          </w:rPr>
          <w:t xml:space="preserve">https://doi.org/10.1080/00952990.2019.1694536</w:t>
        </w:r>
      </w:hyperlink>
    </w:p>
    <w:bookmarkEnd w:id="109"/>
    <w:bookmarkStart w:id="111"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10">
        <w:r>
          <w:rPr>
            <w:rStyle w:val="Hyperlink"/>
          </w:rPr>
          <w:t xml:space="preserve">https://doi.org/10.1111/jrh.70076</w:t>
        </w:r>
      </w:hyperlink>
    </w:p>
    <w:bookmarkEnd w:id="111"/>
    <w:bookmarkStart w:id="112"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12"/>
    <w:bookmarkStart w:id="114"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13">
        <w:r>
          <w:rPr>
            <w:rStyle w:val="Hyperlink"/>
          </w:rPr>
          <w:t xml:space="preserve">https://doi.org/10.1038/s41380-018-0094-5</w:t>
        </w:r>
      </w:hyperlink>
    </w:p>
    <w:bookmarkEnd w:id="114"/>
    <w:bookmarkStart w:id="115"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15"/>
    <w:bookmarkStart w:id="117"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16">
        <w:r>
          <w:rPr>
            <w:rStyle w:val="Hyperlink"/>
          </w:rPr>
          <w:t xml:space="preserve">https://doi.org/10.1177/00333549211041554</w:t>
        </w:r>
      </w:hyperlink>
    </w:p>
    <w:bookmarkEnd w:id="117"/>
    <w:bookmarkStart w:id="119"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18">
        <w:r>
          <w:rPr>
            <w:rStyle w:val="Hyperlink"/>
          </w:rPr>
          <w:t xml:space="preserve">https://doi.org/10.1016/j.cpr.2017.10.012</w:t>
        </w:r>
      </w:hyperlink>
    </w:p>
    <w:bookmarkEnd w:id="119"/>
    <w:bookmarkStart w:id="121"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20">
        <w:r>
          <w:rPr>
            <w:rStyle w:val="Hyperlink"/>
          </w:rPr>
          <w:t xml:space="preserve">https://doi.org/10.1146/annurev-clinpsy-032816-044949</w:t>
        </w:r>
      </w:hyperlink>
    </w:p>
    <w:bookmarkEnd w:id="121"/>
    <w:bookmarkStart w:id="123"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22">
        <w:r>
          <w:rPr>
            <w:rStyle w:val="Hyperlink"/>
          </w:rPr>
          <w:t xml:space="preserve">https://doi.org/10.2196/29563</w:t>
        </w:r>
      </w:hyperlink>
    </w:p>
    <w:bookmarkEnd w:id="123"/>
    <w:bookmarkStart w:id="125"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24">
        <w:r>
          <w:rPr>
            <w:rStyle w:val="Hyperlink"/>
          </w:rPr>
          <w:t xml:space="preserve">https://doi.org/10.1016/j.jsat.2021.108710</w:t>
        </w:r>
      </w:hyperlink>
    </w:p>
    <w:bookmarkEnd w:id="125"/>
    <w:bookmarkStart w:id="127"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26">
        <w:r>
          <w:rPr>
            <w:rStyle w:val="Hyperlink"/>
          </w:rPr>
          <w:t xml:space="preserve">https://doi.org/10.1037/tps0000250</w:t>
        </w:r>
      </w:hyperlink>
    </w:p>
    <w:bookmarkEnd w:id="127"/>
    <w:bookmarkStart w:id="129"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28">
        <w:r>
          <w:rPr>
            <w:rStyle w:val="Hyperlink"/>
          </w:rPr>
          <w:t xml:space="preserve">https://doi.org/10.1016/j.drugalcdep.2019.05.017</w:t>
        </w:r>
      </w:hyperlink>
    </w:p>
    <w:bookmarkEnd w:id="129"/>
    <w:bookmarkStart w:id="130"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30"/>
    <w:bookmarkStart w:id="132"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31">
        <w:r>
          <w:rPr>
            <w:rStyle w:val="Hyperlink"/>
          </w:rPr>
          <w:t xml:space="preserve">https://doi.org/10.2196/73265</w:t>
        </w:r>
      </w:hyperlink>
    </w:p>
    <w:bookmarkEnd w:id="132"/>
    <w:bookmarkStart w:id="134"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33">
        <w:r>
          <w:rPr>
            <w:rStyle w:val="Hyperlink"/>
          </w:rPr>
          <w:t xml:space="preserve">https://doi.org/10.1377/hlthaff.2011.0983</w:t>
        </w:r>
      </w:hyperlink>
    </w:p>
    <w:bookmarkEnd w:id="134"/>
    <w:bookmarkStart w:id="136"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35">
        <w:r>
          <w:rPr>
            <w:rStyle w:val="Hyperlink"/>
          </w:rPr>
          <w:t xml:space="preserve">https://doi.org/10.1111/j.1530-0277.2006.00263.x</w:t>
        </w:r>
      </w:hyperlink>
    </w:p>
    <w:bookmarkEnd w:id="136"/>
    <w:bookmarkStart w:id="13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37">
        <w:r>
          <w:rPr>
            <w:rStyle w:val="Hyperlink"/>
          </w:rPr>
          <w:t xml:space="preserve">https://doi.org/10.1001/jamapsychiatry.2013.4450</w:t>
        </w:r>
      </w:hyperlink>
    </w:p>
    <w:bookmarkEnd w:id="138"/>
    <w:bookmarkStart w:id="140"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39">
        <w:r>
          <w:rPr>
            <w:rStyle w:val="Hyperlink"/>
          </w:rPr>
          <w:t xml:space="preserve">https://doi.org/10.1037/0003-066X.60.4.340</w:t>
        </w:r>
      </w:hyperlink>
    </w:p>
    <w:bookmarkEnd w:id="140"/>
    <w:bookmarkStart w:id="141"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41"/>
    <w:bookmarkStart w:id="143"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42">
        <w:r>
          <w:rPr>
            <w:rStyle w:val="Hyperlink"/>
          </w:rPr>
          <w:t xml:space="preserve">https://doi.org/10.1016/j.landig.2025.100916</w:t>
        </w:r>
      </w:hyperlink>
    </w:p>
    <w:bookmarkEnd w:id="143"/>
    <w:bookmarkStart w:id="145"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44">
        <w:r>
          <w:rPr>
            <w:rStyle w:val="Hyperlink"/>
          </w:rPr>
          <w:t xml:space="preserve">https://doi.org/10.1016/j.artmed.2020.101987</w:t>
        </w:r>
      </w:hyperlink>
    </w:p>
    <w:bookmarkEnd w:id="145"/>
    <w:bookmarkStart w:id="147"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46">
        <w:r>
          <w:rPr>
            <w:rStyle w:val="Hyperlink"/>
          </w:rPr>
          <w:t xml:space="preserve">https://doi.org/10.1016/j.cpr.2005.11.003</w:t>
        </w:r>
      </w:hyperlink>
    </w:p>
    <w:bookmarkEnd w:id="147"/>
    <w:bookmarkStart w:id="14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48"/>
    <w:bookmarkStart w:id="15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49">
        <w:r>
          <w:rPr>
            <w:rStyle w:val="Hyperlink"/>
          </w:rPr>
          <w:t xml:space="preserve">https://doi.org/10.1037/0003-066X.59.4.224</w:t>
        </w:r>
      </w:hyperlink>
    </w:p>
    <w:bookmarkEnd w:id="150"/>
    <w:bookmarkStart w:id="152"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51">
        <w:r>
          <w:rPr>
            <w:rStyle w:val="Hyperlink"/>
          </w:rPr>
          <w:t xml:space="preserve">https://doi.org/10.1080/14659891.2018.1523968</w:t>
        </w:r>
      </w:hyperlink>
    </w:p>
    <w:bookmarkEnd w:id="152"/>
    <w:bookmarkStart w:id="154"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53">
        <w:r>
          <w:rPr>
            <w:rStyle w:val="Hyperlink"/>
          </w:rPr>
          <w:t xml:space="preserve">https://doi.org/10.2196/41833</w:t>
        </w:r>
      </w:hyperlink>
    </w:p>
    <w:bookmarkEnd w:id="154"/>
    <w:bookmarkStart w:id="156"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55">
        <w:r>
          <w:rPr>
            <w:rStyle w:val="Hyperlink"/>
          </w:rPr>
          <w:t xml:space="preserve">https://doi.org/10.31234/osf.io/cgsf7</w:t>
        </w:r>
      </w:hyperlink>
    </w:p>
    <w:bookmarkEnd w:id="156"/>
    <w:bookmarkStart w:id="158"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57">
        <w:r>
          <w:rPr>
            <w:rStyle w:val="Hyperlink"/>
          </w:rPr>
          <w:t xml:space="preserve">https://doi.org/10.1080/17441692.2023.2277854</w:t>
        </w:r>
      </w:hyperlink>
    </w:p>
    <w:bookmarkEnd w:id="158"/>
    <w:bookmarkEnd w:id="159"/>
    <w:bookmarkEnd w:id="1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6">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26">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p>
  </w:footnote>
  <w:footnote w:id="3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4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hyperlink" Id="rId102" Target="https://doi.org/10.1001/jamanetworkopen.2020.5852" TargetMode="External" /><Relationship Type="http://schemas.openxmlformats.org/officeDocument/2006/relationships/hyperlink" Id="rId137" Target="https://doi.org/10.1001/jamapsychiatry.2013.4450" TargetMode="External" /><Relationship Type="http://schemas.openxmlformats.org/officeDocument/2006/relationships/hyperlink" Id="rId93" Target="https://doi.org/10.1001/jamapsychiatry.2013.4642" TargetMode="External" /><Relationship Type="http://schemas.openxmlformats.org/officeDocument/2006/relationships/hyperlink" Id="rId144" Target="https://doi.org/10.1016/j.artmed.2020.101987" TargetMode="External" /><Relationship Type="http://schemas.openxmlformats.org/officeDocument/2006/relationships/hyperlink" Id="rId146" Target="https://doi.org/10.1016/j.cpr.2005.11.003" TargetMode="External" /><Relationship Type="http://schemas.openxmlformats.org/officeDocument/2006/relationships/hyperlink" Id="rId118" Target="https://doi.org/10.1016/j.cpr.2017.10.012" TargetMode="External" /><Relationship Type="http://schemas.openxmlformats.org/officeDocument/2006/relationships/hyperlink" Id="rId88" Target="https://doi.org/10.1016/j.drugalcdep.2006.05.012" TargetMode="External" /><Relationship Type="http://schemas.openxmlformats.org/officeDocument/2006/relationships/hyperlink" Id="rId91" Target="https://doi.org/10.1016/j.drugalcdep.2013.07.027" TargetMode="External" /><Relationship Type="http://schemas.openxmlformats.org/officeDocument/2006/relationships/hyperlink" Id="rId76" Target="https://doi.org/10.1016/j.drugalcdep.2014.10.004" TargetMode="External" /><Relationship Type="http://schemas.openxmlformats.org/officeDocument/2006/relationships/hyperlink" Id="rId128"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6" Target="https://doi.org/10.1016/j.josat.2025.209685" TargetMode="External" /><Relationship Type="http://schemas.openxmlformats.org/officeDocument/2006/relationships/hyperlink" Id="rId124" Target="https://doi.org/10.1016/j.jsat.2021.108710" TargetMode="External" /><Relationship Type="http://schemas.openxmlformats.org/officeDocument/2006/relationships/hyperlink" Id="rId142" Target="https://doi.org/10.1016/j.landig.2025.100916" TargetMode="External" /><Relationship Type="http://schemas.openxmlformats.org/officeDocument/2006/relationships/hyperlink" Id="rId106" Target="https://doi.org/10.1017/S0033291724000862" TargetMode="External" /><Relationship Type="http://schemas.openxmlformats.org/officeDocument/2006/relationships/hyperlink" Id="rId149" Target="https://doi.org/10.1037/0003-066X.59.4.224" TargetMode="External" /><Relationship Type="http://schemas.openxmlformats.org/officeDocument/2006/relationships/hyperlink" Id="rId139" Target="https://doi.org/10.1037/0003-066X.60.4.340" TargetMode="External" /><Relationship Type="http://schemas.openxmlformats.org/officeDocument/2006/relationships/hyperlink" Id="rId126" Target="https://doi.org/10.1037/tps0000250" TargetMode="External" /><Relationship Type="http://schemas.openxmlformats.org/officeDocument/2006/relationships/hyperlink" Id="rId113" Target="https://doi.org/10.1038/s41380-018-0094-5" TargetMode="External" /><Relationship Type="http://schemas.openxmlformats.org/officeDocument/2006/relationships/hyperlink" Id="rId108" Target="https://doi.org/10.1080/00952990.2019.1694536" TargetMode="External" /><Relationship Type="http://schemas.openxmlformats.org/officeDocument/2006/relationships/hyperlink" Id="rId85" Target="https://doi.org/10.1080/10826084.2021.1899225" TargetMode="External" /><Relationship Type="http://schemas.openxmlformats.org/officeDocument/2006/relationships/hyperlink" Id="rId151" Target="https://doi.org/10.1080/14659891.2018.1523968" TargetMode="External" /><Relationship Type="http://schemas.openxmlformats.org/officeDocument/2006/relationships/hyperlink" Id="rId157" Target="https://doi.org/10.1080/17441692.2023.2277854" TargetMode="External" /><Relationship Type="http://schemas.openxmlformats.org/officeDocument/2006/relationships/hyperlink" Id="rId98" Target="https://doi.org/10.1097/ADM.0000000000000312" TargetMode="External" /><Relationship Type="http://schemas.openxmlformats.org/officeDocument/2006/relationships/hyperlink" Id="rId135" Target="https://doi.org/10.1111/j.1530-0277.2006.00263.x" TargetMode="External" /><Relationship Type="http://schemas.openxmlformats.org/officeDocument/2006/relationships/hyperlink" Id="rId110" Target="https://doi.org/10.1111/jrh.70076" TargetMode="External" /><Relationship Type="http://schemas.openxmlformats.org/officeDocument/2006/relationships/hyperlink" Id="rId78" Target="https://doi.org/10.1136/bmj-2023-078378" TargetMode="External" /><Relationship Type="http://schemas.openxmlformats.org/officeDocument/2006/relationships/hyperlink" Id="rId120" Target="https://doi.org/10.1146/annurev-clinpsy-032816-044949" TargetMode="External" /><Relationship Type="http://schemas.openxmlformats.org/officeDocument/2006/relationships/hyperlink" Id="rId116" Target="https://doi.org/10.1177/00333549211041554" TargetMode="External" /><Relationship Type="http://schemas.openxmlformats.org/officeDocument/2006/relationships/hyperlink" Id="rId133" Target="https://doi.org/10.1377/hlthaff.2011.0983" TargetMode="External" /><Relationship Type="http://schemas.openxmlformats.org/officeDocument/2006/relationships/hyperlink" Id="rId74" Target="https://doi.org/10.21231/GNT1-HW21" TargetMode="External" /><Relationship Type="http://schemas.openxmlformats.org/officeDocument/2006/relationships/hyperlink" Id="rId122" Target="https://doi.org/10.2196/29563" TargetMode="External" /><Relationship Type="http://schemas.openxmlformats.org/officeDocument/2006/relationships/hyperlink" Id="rId153" Target="https://doi.org/10.2196/41833" TargetMode="External" /><Relationship Type="http://schemas.openxmlformats.org/officeDocument/2006/relationships/hyperlink" Id="rId131" Target="https://doi.org/10.2196/73265" TargetMode="External" /><Relationship Type="http://schemas.openxmlformats.org/officeDocument/2006/relationships/hyperlink" Id="rId155" Target="https://doi.org/10.31234/osf.io/cgsf7" TargetMode="External" /><Relationship Type="http://schemas.openxmlformats.org/officeDocument/2006/relationships/hyperlink" Id="rId100" Target="https://doi.org/10/gfsjzg" TargetMode="External" /><Relationship Type="http://schemas.openxmlformats.org/officeDocument/2006/relationships/hyperlink" Id="rId81"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5" Target="https://jjcurtin.github.io/study_risk2/notebooks\mak_figures-preview.html#cell-fig-1" TargetMode="External" /><Relationship Type="http://schemas.openxmlformats.org/officeDocument/2006/relationships/hyperlink" Id="rId52" Target="https://jjcurtin.github.io/study_risk2/notebooks\mak_figures-preview.html#cell-fig-2" TargetMode="External" /><Relationship Type="http://schemas.openxmlformats.org/officeDocument/2006/relationships/hyperlink" Id="rId59" Target="https://jjcurtin.github.io/study_risk2/notebooks\mak_figures-preview.html#cell-fig-3" TargetMode="External" /><Relationship Type="http://schemas.openxmlformats.org/officeDocument/2006/relationships/hyperlink" Id="rId64" Target="https://jjcurtin.github.io/study_risk2/notebooks\mak_figures-preview.html#cell-fig-4" TargetMode="External" /><Relationship Type="http://schemas.openxmlformats.org/officeDocument/2006/relationships/hyperlink" Id="rId36" Target="https://jjcurtin.github.io/study_risk2/notebooks\mak_tables-preview.html#cell-tbl-1" TargetMode="External" /><Relationship Type="http://schemas.openxmlformats.org/officeDocument/2006/relationships/hyperlink" Id="rId40" Target="https://jjcurtin.github.io/study_risk2/notebooks\mak_tables-preview.html#cell-tbl-2" TargetMode="External" /><Relationship Type="http://schemas.openxmlformats.org/officeDocument/2006/relationships/hyperlink" Id="rId1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102" Target="https://doi.org/10.1001/jamanetworkopen.2020.5852" TargetMode="External" /><Relationship Type="http://schemas.openxmlformats.org/officeDocument/2006/relationships/hyperlink" Id="rId137" Target="https://doi.org/10.1001/jamapsychiatry.2013.4450" TargetMode="External" /><Relationship Type="http://schemas.openxmlformats.org/officeDocument/2006/relationships/hyperlink" Id="rId93" Target="https://doi.org/10.1001/jamapsychiatry.2013.4642" TargetMode="External" /><Relationship Type="http://schemas.openxmlformats.org/officeDocument/2006/relationships/hyperlink" Id="rId144" Target="https://doi.org/10.1016/j.artmed.2020.101987" TargetMode="External" /><Relationship Type="http://schemas.openxmlformats.org/officeDocument/2006/relationships/hyperlink" Id="rId146" Target="https://doi.org/10.1016/j.cpr.2005.11.003" TargetMode="External" /><Relationship Type="http://schemas.openxmlformats.org/officeDocument/2006/relationships/hyperlink" Id="rId118" Target="https://doi.org/10.1016/j.cpr.2017.10.012" TargetMode="External" /><Relationship Type="http://schemas.openxmlformats.org/officeDocument/2006/relationships/hyperlink" Id="rId88" Target="https://doi.org/10.1016/j.drugalcdep.2006.05.012" TargetMode="External" /><Relationship Type="http://schemas.openxmlformats.org/officeDocument/2006/relationships/hyperlink" Id="rId91" Target="https://doi.org/10.1016/j.drugalcdep.2013.07.027" TargetMode="External" /><Relationship Type="http://schemas.openxmlformats.org/officeDocument/2006/relationships/hyperlink" Id="rId76" Target="https://doi.org/10.1016/j.drugalcdep.2014.10.004" TargetMode="External" /><Relationship Type="http://schemas.openxmlformats.org/officeDocument/2006/relationships/hyperlink" Id="rId128"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6" Target="https://doi.org/10.1016/j.josat.2025.209685" TargetMode="External" /><Relationship Type="http://schemas.openxmlformats.org/officeDocument/2006/relationships/hyperlink" Id="rId124" Target="https://doi.org/10.1016/j.jsat.2021.108710" TargetMode="External" /><Relationship Type="http://schemas.openxmlformats.org/officeDocument/2006/relationships/hyperlink" Id="rId142" Target="https://doi.org/10.1016/j.landig.2025.100916" TargetMode="External" /><Relationship Type="http://schemas.openxmlformats.org/officeDocument/2006/relationships/hyperlink" Id="rId106" Target="https://doi.org/10.1017/S0033291724000862" TargetMode="External" /><Relationship Type="http://schemas.openxmlformats.org/officeDocument/2006/relationships/hyperlink" Id="rId149" Target="https://doi.org/10.1037/0003-066X.59.4.224" TargetMode="External" /><Relationship Type="http://schemas.openxmlformats.org/officeDocument/2006/relationships/hyperlink" Id="rId139" Target="https://doi.org/10.1037/0003-066X.60.4.340" TargetMode="External" /><Relationship Type="http://schemas.openxmlformats.org/officeDocument/2006/relationships/hyperlink" Id="rId126" Target="https://doi.org/10.1037/tps0000250" TargetMode="External" /><Relationship Type="http://schemas.openxmlformats.org/officeDocument/2006/relationships/hyperlink" Id="rId113" Target="https://doi.org/10.1038/s41380-018-0094-5" TargetMode="External" /><Relationship Type="http://schemas.openxmlformats.org/officeDocument/2006/relationships/hyperlink" Id="rId108" Target="https://doi.org/10.1080/00952990.2019.1694536" TargetMode="External" /><Relationship Type="http://schemas.openxmlformats.org/officeDocument/2006/relationships/hyperlink" Id="rId85" Target="https://doi.org/10.1080/10826084.2021.1899225" TargetMode="External" /><Relationship Type="http://schemas.openxmlformats.org/officeDocument/2006/relationships/hyperlink" Id="rId151" Target="https://doi.org/10.1080/14659891.2018.1523968" TargetMode="External" /><Relationship Type="http://schemas.openxmlformats.org/officeDocument/2006/relationships/hyperlink" Id="rId157" Target="https://doi.org/10.1080/17441692.2023.2277854" TargetMode="External" /><Relationship Type="http://schemas.openxmlformats.org/officeDocument/2006/relationships/hyperlink" Id="rId98" Target="https://doi.org/10.1097/ADM.0000000000000312" TargetMode="External" /><Relationship Type="http://schemas.openxmlformats.org/officeDocument/2006/relationships/hyperlink" Id="rId135" Target="https://doi.org/10.1111/j.1530-0277.2006.00263.x" TargetMode="External" /><Relationship Type="http://schemas.openxmlformats.org/officeDocument/2006/relationships/hyperlink" Id="rId110" Target="https://doi.org/10.1111/jrh.70076" TargetMode="External" /><Relationship Type="http://schemas.openxmlformats.org/officeDocument/2006/relationships/hyperlink" Id="rId78" Target="https://doi.org/10.1136/bmj-2023-078378" TargetMode="External" /><Relationship Type="http://schemas.openxmlformats.org/officeDocument/2006/relationships/hyperlink" Id="rId120" Target="https://doi.org/10.1146/annurev-clinpsy-032816-044949" TargetMode="External" /><Relationship Type="http://schemas.openxmlformats.org/officeDocument/2006/relationships/hyperlink" Id="rId116" Target="https://doi.org/10.1177/00333549211041554" TargetMode="External" /><Relationship Type="http://schemas.openxmlformats.org/officeDocument/2006/relationships/hyperlink" Id="rId133" Target="https://doi.org/10.1377/hlthaff.2011.0983" TargetMode="External" /><Relationship Type="http://schemas.openxmlformats.org/officeDocument/2006/relationships/hyperlink" Id="rId74" Target="https://doi.org/10.21231/GNT1-HW21" TargetMode="External" /><Relationship Type="http://schemas.openxmlformats.org/officeDocument/2006/relationships/hyperlink" Id="rId122" Target="https://doi.org/10.2196/29563" TargetMode="External" /><Relationship Type="http://schemas.openxmlformats.org/officeDocument/2006/relationships/hyperlink" Id="rId153" Target="https://doi.org/10.2196/41833" TargetMode="External" /><Relationship Type="http://schemas.openxmlformats.org/officeDocument/2006/relationships/hyperlink" Id="rId131" Target="https://doi.org/10.2196/73265" TargetMode="External" /><Relationship Type="http://schemas.openxmlformats.org/officeDocument/2006/relationships/hyperlink" Id="rId155" Target="https://doi.org/10.31234/osf.io/cgsf7" TargetMode="External" /><Relationship Type="http://schemas.openxmlformats.org/officeDocument/2006/relationships/hyperlink" Id="rId100" Target="https://doi.org/10/gfsjzg" TargetMode="External" /><Relationship Type="http://schemas.openxmlformats.org/officeDocument/2006/relationships/hyperlink" Id="rId81"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5" Target="https://jjcurtin.github.io/study_risk2/notebooks\mak_figures-preview.html#cell-fig-1" TargetMode="External" /><Relationship Type="http://schemas.openxmlformats.org/officeDocument/2006/relationships/hyperlink" Id="rId52" Target="https://jjcurtin.github.io/study_risk2/notebooks\mak_figures-preview.html#cell-fig-2" TargetMode="External" /><Relationship Type="http://schemas.openxmlformats.org/officeDocument/2006/relationships/hyperlink" Id="rId59" Target="https://jjcurtin.github.io/study_risk2/notebooks\mak_figures-preview.html#cell-fig-3" TargetMode="External" /><Relationship Type="http://schemas.openxmlformats.org/officeDocument/2006/relationships/hyperlink" Id="rId64" Target="https://jjcurtin.github.io/study_risk2/notebooks\mak_figures-preview.html#cell-fig-4" TargetMode="External" /><Relationship Type="http://schemas.openxmlformats.org/officeDocument/2006/relationships/hyperlink" Id="rId36" Target="https://jjcurtin.github.io/study_risk2/notebooks\mak_tables-preview.html#cell-tbl-1" TargetMode="External" /><Relationship Type="http://schemas.openxmlformats.org/officeDocument/2006/relationships/hyperlink" Id="rId40" Target="https://jjcurtin.github.io/study_risk2/notebooks\mak_tables-preview.html#cell-tbl-2" TargetMode="External" /><Relationship Type="http://schemas.openxmlformats.org/officeDocument/2006/relationships/hyperlink" Id="rId1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2026-05-31T00:05:40Z</dcterms:created>
  <dcterms:modified xsi:type="dcterms:W3CDTF">2026-05-31T00:05:40Z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2026-05-30</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