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4.png" ContentType="image/png"/>
  <Override PartName="/word/media/rId49.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lapse risk prediction in a national sample of individuals with opioid use disorder using personal sensing and machine learning</w:t>
      </w:r>
    </w:p>
    <w:p>
      <w:pPr>
        <w:pStyle w:val="Author"/>
      </w:pPr>
      <w:r>
        <w:t xml:space="preserve">Kendra Wyant</w:t>
      </w:r>
    </w:p>
    <w:p>
      <w:pPr>
        <w:pStyle w:val="Author"/>
      </w:pPr>
      <w:r>
        <w:t xml:space="preserve">John J. Curtin</w:t>
      </w:r>
    </w:p>
    <w:p>
      <w:pPr>
        <w:pStyle w:val="Date"/>
      </w:pPr>
      <w:r>
        <w:t xml:space="preserve">2025-12-27</w:t>
      </w:r>
    </w:p>
    <w:p>
      <w:pPr>
        <w:pStyle w:val="AbstractTitle"/>
      </w:pPr>
      <w:r>
        <w:t xml:space="preserve">Abstract</w:t>
      </w:r>
    </w:p>
    <w:p>
      <w:pPr>
        <w:pStyle w:val="Abstract"/>
      </w:pPr>
      <w:r>
        <w:t xml:space="preserve">Enter abstract here.</w:t>
      </w:r>
    </w:p>
    <w:bookmarkStart w:id="20" w:name="introduction"/>
    <w:p>
      <w:pPr>
        <w:pStyle w:val="Heading1"/>
      </w:pPr>
      <w:r>
        <w:t xml:space="preserve">Introduction</w:t>
      </w:r>
    </w:p>
    <w:bookmarkEnd w:id="20"/>
    <w:bookmarkStart w:id="3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Our data, questionnaires, and other study materials are publicly available on our OSF page (</w:t>
      </w:r>
      <w:hyperlink r:id="rId21">
        <w:r>
          <w:rPr>
            <w:rStyle w:val="Hyperlink"/>
          </w:rPr>
          <w:t xml:space="preserve">https://osf.io/zvm7s/overview</w:t>
        </w:r>
      </w:hyperlink>
      <w:r>
        <w:t xml:space="preserve">), and our annotated analysis scripts and results are publicly available on our study website (</w:t>
      </w:r>
      <w:hyperlink r:id="rId22">
        <w:r>
          <w:rPr>
            <w:rStyle w:val="Hyperlink"/>
          </w:rPr>
          <w:t xml:space="preserve">https://jjcurtin.github.io/study_risk2/</w:t>
        </w:r>
      </w:hyperlink>
      <w:r>
        <w:t xml:space="preserve">).</w:t>
      </w:r>
    </w:p>
    <w:p>
      <w:pPr>
        <w:pStyle w:val="BodyText"/>
      </w:pPr>
      <w:r>
        <w:t xml:space="preserve">-TRIPOD+AI checklist</w:t>
      </w:r>
      <w:r>
        <w:t xml:space="preserve"> </w:t>
      </w:r>
      <w:r>
        <w:t xml:space="preserve">(Collins et al., 2024)</w:t>
      </w:r>
    </w:p>
    <w:bookmarkEnd w:id="23"/>
    <w:bookmarkStart w:id="24" w:name="participants"/>
    <w:p>
      <w:pPr>
        <w:pStyle w:val="Heading2"/>
      </w:pPr>
      <w:r>
        <w:t xml:space="preserve">Participants</w:t>
      </w:r>
    </w:p>
    <w:bookmarkEnd w:id="24"/>
    <w:bookmarkStart w:id="25" w:name="procedure"/>
    <w:p>
      <w:pPr>
        <w:pStyle w:val="Heading2"/>
      </w:pPr>
      <w:r>
        <w:t xml:space="preserve">Procedure</w:t>
      </w:r>
    </w:p>
    <w:p>
      <w:pPr>
        <w:pStyle w:val="FirstParagraph"/>
      </w:pPr>
      <w:r>
        <w:t xml:space="preserve">All procedures were approved by the University of Wisconsin-Madison Institutional Review Board</w:t>
      </w:r>
      <w:r>
        <w:t xml:space="preserve"> </w:t>
      </w:r>
      <w:r>
        <w:t xml:space="preserve"> </w:t>
      </w:r>
      <w:r>
        <w:t xml:space="preserve">All participants provided written informed consent.</w:t>
      </w:r>
    </w:p>
    <w:bookmarkEnd w:id="25"/>
    <w:bookmarkStart w:id="28" w:name="measures"/>
    <w:p>
      <w:pPr>
        <w:pStyle w:val="Heading2"/>
      </w:pPr>
      <w:r>
        <w:t xml:space="preserve">Measures</w:t>
      </w:r>
    </w:p>
    <w:bookmarkStart w:id="26" w:name="individual-characteristics"/>
    <w:p>
      <w:pPr>
        <w:pStyle w:val="Heading3"/>
      </w:pPr>
      <w:r>
        <w:t xml:space="preserve">Individual Characteristics</w:t>
      </w:r>
    </w:p>
    <w:bookmarkEnd w:id="26"/>
    <w:bookmarkStart w:id="27" w:name="ecological-momentary-assessment"/>
    <w:p>
      <w:pPr>
        <w:pStyle w:val="Heading3"/>
      </w:pPr>
      <w:r>
        <w:t xml:space="preserve">Ecological Momentary Assessment</w:t>
      </w:r>
    </w:p>
    <w:bookmarkEnd w:id="27"/>
    <w:bookmarkEnd w:id="28"/>
    <w:bookmarkStart w:id="29" w:name="geolocation-sensing"/>
    <w:p>
      <w:pPr>
        <w:pStyle w:val="Heading2"/>
      </w:pPr>
      <w:r>
        <w:t xml:space="preserve">Geolocation Sensing</w:t>
      </w:r>
    </w:p>
    <w:bookmarkEnd w:id="29"/>
    <w:bookmarkStart w:id="34"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0" w:name="model-selection"/>
    <w:p>
      <w:pPr>
        <w:pStyle w:val="Heading3"/>
      </w:pPr>
      <w:r>
        <w:t xml:space="preserve">Model Selection</w:t>
      </w:r>
    </w:p>
    <w:p>
      <w:pPr>
        <w:pStyle w:val="FirstParagraph"/>
      </w:pPr>
      <w:r>
        <w:t xml:space="preserve">The best model configuration was selected using 6 repeats of participant-grouped 5-fold cross-validation. Folds were stratified by a between-subject measure of our outcome (no lapse vs. any lapse). Model configurations differed on:</w:t>
      </w:r>
    </w:p>
    <w:p>
      <w:pPr>
        <w:numPr>
          <w:ilvl w:val="0"/>
          <w:numId w:val="1001"/>
        </w:numPr>
      </w:pPr>
      <w:r>
        <w:t xml:space="preserve">Statistical algorithm (and hyperparameter tuning)</w:t>
      </w:r>
    </w:p>
    <w:p>
      <w:pPr>
        <w:numPr>
          <w:ilvl w:val="0"/>
          <w:numId w:val="1001"/>
        </w:numPr>
      </w:pPr>
      <w:r>
        <w:t xml:space="preserve">Feature set</w:t>
      </w:r>
    </w:p>
    <w:p>
      <w:pPr>
        <w:numPr>
          <w:ilvl w:val="0"/>
          <w:numId w:val="1001"/>
        </w:numPr>
      </w:pPr>
      <w:r>
        <w:t xml:space="preserve">Resampling of minority outcome</w:t>
      </w:r>
    </w:p>
    <w:p>
      <w:pPr>
        <w:pStyle w:val="FirstParagraph"/>
      </w:pPr>
      <w:r>
        <w:t xml:space="preserve">Features had missing values if the participant did not respond to the relevant EMA question during the associated scoring epoch. The proportion of missing values across features was low</w:t>
      </w:r>
      <w:r>
        <w:t xml:space="preserve"> </w:t>
      </w:r>
      <w:r>
        <w:t xml:space="preserve">.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bookmarkEnd w:id="30"/>
    <w:bookmarkStart w:id="31" w:name="model-evaluation"/>
    <w:p>
      <w:pPr>
        <w:pStyle w:val="Heading3"/>
      </w:pPr>
      <w:r>
        <w:t xml:space="preserve">Model Evaluation</w:t>
      </w:r>
    </w:p>
    <w:p>
      <w:pPr>
        <w:pStyle w:val="FirstParagraph"/>
      </w:pPr>
      <w:r>
        <w:t xml:space="preserve">We used a Bayesian hierarchical generalized linear model to estimate the posterior distribution and 95% credible intervals (CI) for the 30 held-out test sets for our best performing model. We used weakly informative, data-dependent priors to regularize and reduce overfitting. Random intercepts were included for repeat and fold (nested within repeat).</w:t>
      </w:r>
    </w:p>
    <w:p>
      <w:pPr>
        <w:pStyle w:val="BodyText"/>
      </w:pPr>
      <w:r>
        <w:t xml:space="preserve">Using the same 30 held-out test sets, we calculated the median posterior probability and 95% Bayesian CI for auROC for each model separately by gender (not male vs. male), race/ethnicity (Hispanic and/or non-White vs. non-Hispanic White), income (below poverty line vs. above poverty line), geographic location (small town/rural vs. urban/suburban), and education (high school or less vs. some college). We conducted Bayesian group comparisons to assess the likelihood that each model performs differently by group.</w:t>
      </w:r>
    </w:p>
    <w:p>
      <w:pPr>
        <w:pStyle w:val="Compact"/>
        <w:numPr>
          <w:ilvl w:val="0"/>
          <w:numId w:val="1002"/>
        </w:numPr>
      </w:pPr>
      <w:r>
        <w:t xml:space="preserve">following best practices for model reporting</w:t>
      </w:r>
      <w:r>
        <w:t xml:space="preserve"> </w:t>
      </w:r>
      <w:r>
        <w:t xml:space="preserve">(Van Calster et al., 2025)</w:t>
      </w:r>
    </w:p>
    <w:bookmarkEnd w:id="31"/>
    <w:bookmarkStart w:id="32" w:name="calibration"/>
    <w:p>
      <w:pPr>
        <w:pStyle w:val="Heading3"/>
      </w:pPr>
      <w:r>
        <w:t xml:space="preserve">Calibration</w:t>
      </w:r>
    </w:p>
    <w:p>
      <w:pPr>
        <w:pStyle w:val="FirstParagraph"/>
      </w:pPr>
      <w:r>
        <w:t xml:space="preserve">We calibrated our probabilities using Platt scaling. We calculated Brier scores to assess the accuracy of our raw and calibrated probabilities for our best model. Brier scores range from 0 (perfect accuracy) to 1 (perfect inaccuracy). We also provide calibration plots for the raw and calibrated probabilities.</w:t>
      </w:r>
    </w:p>
    <w:bookmarkEnd w:id="32"/>
    <w:bookmarkStart w:id="33" w:name="feature-importance"/>
    <w:p>
      <w:pPr>
        <w:pStyle w:val="Heading3"/>
      </w:pPr>
      <w:r>
        <w:t xml:space="preserve">Feature Importance</w:t>
      </w:r>
    </w:p>
    <w:bookmarkEnd w:id="33"/>
    <w:bookmarkEnd w:id="34"/>
    <w:bookmarkEnd w:id="35"/>
    <w:bookmarkStart w:id="58" w:name="results"/>
    <w:p>
      <w:pPr>
        <w:pStyle w:val="Heading1"/>
      </w:pPr>
      <w:r>
        <w:t xml:space="preserve">Results</w:t>
      </w:r>
    </w:p>
    <w:bookmarkStart w:id="37" w:name="participants-1"/>
    <w:p>
      <w:pPr>
        <w:pStyle w:val="Heading2"/>
      </w:pPr>
      <w:r>
        <w:t xml:space="preserve">Participants</w:t>
      </w:r>
    </w:p>
    <w:p>
      <w:pPr>
        <w:pStyle w:val="FirstParagraph"/>
      </w:pPr>
      <w:r>
        <w:t xml:space="preserve">Data were collected from April 2021 through December 2024. A total of 336 participants were eligible, consented, and remained on study for at least one month. Our final analysis sample consisted of 301 participants. Ten participants were excluded due to unusually low adherence, 13 participants were excluded due to insufficient context data for geolocation points, 4 participants were excluded due to frequent lapses suggesting they no longer had a goal of abstinence, 8 participants were excluded due to careless responding. A summary of participant demographic and OUD characteristics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18-21</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2.3</w:t>
                  </w:r>
                </w:p>
              </w:tc>
            </w:tr>
            <w:tr>
              <w:tc>
                <w:tcPr/>
                <w:p>
                  <w:pPr>
                    <w:pStyle w:val="Compact"/>
                    <w:jc w:val="left"/>
                    <w:jc w:val="center"/>
                  </w:pPr>
                  <w:r>
                    <w:t xml:space="preserve">26-35</w:t>
                  </w:r>
                </w:p>
              </w:tc>
              <w:tc>
                <w:tcPr/>
                <w:p>
                  <w:pPr>
                    <w:pStyle w:val="Compact"/>
                    <w:jc w:val="right"/>
                    <w:jc w:val="center"/>
                  </w:pPr>
                  <w:r>
                    <w:t xml:space="preserve">108</w:t>
                  </w:r>
                </w:p>
              </w:tc>
              <w:tc>
                <w:tcPr/>
                <w:p>
                  <w:pPr>
                    <w:pStyle w:val="Compact"/>
                    <w:jc w:val="right"/>
                    <w:jc w:val="center"/>
                  </w:pPr>
                  <w:r>
                    <w:t xml:space="preserve">35.9</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35.5</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19.9</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160</w:t>
                  </w:r>
                </w:p>
              </w:tc>
              <w:tc>
                <w:tcPr/>
                <w:p>
                  <w:pPr>
                    <w:pStyle w:val="Compact"/>
                    <w:jc w:val="right"/>
                    <w:jc w:val="center"/>
                  </w:pPr>
                  <w:r>
                    <w:t xml:space="preserve">53.2</w:t>
                  </w:r>
                </w:p>
              </w:tc>
            </w:tr>
            <w:tr>
              <w:tc>
                <w:tcPr/>
                <w:p>
                  <w:pPr>
                    <w:pStyle w:val="Compact"/>
                    <w:jc w:val="left"/>
                    <w:jc w:val="center"/>
                  </w:pPr>
                  <w:r>
                    <w:t xml:space="preserve">Woman</w:t>
                  </w:r>
                </w:p>
              </w:tc>
              <w:tc>
                <w:tcPr/>
                <w:p>
                  <w:pPr>
                    <w:pStyle w:val="Compact"/>
                    <w:jc w:val="right"/>
                    <w:jc w:val="center"/>
                  </w:pPr>
                  <w:r>
                    <w:t xml:space="preserve">134</w:t>
                  </w:r>
                </w:p>
              </w:tc>
              <w:tc>
                <w:tcPr/>
                <w:p>
                  <w:pPr>
                    <w:pStyle w:val="Compact"/>
                    <w:jc w:val="right"/>
                    <w:jc w:val="center"/>
                  </w:pPr>
                  <w:r>
                    <w:t xml:space="preserve">44.5</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238</w:t>
                  </w:r>
                </w:p>
              </w:tc>
              <w:tc>
                <w:tcPr/>
                <w:p>
                  <w:pPr>
                    <w:pStyle w:val="Compact"/>
                    <w:jc w:val="right"/>
                    <w:jc w:val="center"/>
                  </w:pPr>
                  <w:r>
                    <w:t xml:space="preserve">79.1</w:t>
                  </w:r>
                </w:p>
              </w:tc>
            </w:tr>
            <w:tr>
              <w:tc>
                <w:tcPr/>
                <w:p>
                  <w:pPr>
                    <w:pStyle w:val="Compact"/>
                    <w:jc w:val="left"/>
                    <w:jc w:val="center"/>
                  </w:pPr>
                  <w:r>
                    <w:t xml:space="preserve">Lesbian or gay</w:t>
                  </w:r>
                </w:p>
              </w:tc>
              <w:tc>
                <w:tcPr/>
                <w:p>
                  <w:pPr>
                    <w:pStyle w:val="Compact"/>
                    <w:jc w:val="right"/>
                    <w:jc w:val="center"/>
                  </w:pPr>
                  <w:r>
                    <w:t xml:space="preserve">16</w:t>
                  </w:r>
                </w:p>
              </w:tc>
              <w:tc>
                <w:tcPr/>
                <w:p>
                  <w:pPr>
                    <w:pStyle w:val="Compact"/>
                    <w:jc w:val="right"/>
                    <w:jc w:val="center"/>
                  </w:pPr>
                  <w:r>
                    <w:t xml:space="preserve">5.3</w:t>
                  </w:r>
                </w:p>
              </w:tc>
            </w:tr>
            <w:tr>
              <w:tc>
                <w:tcPr/>
                <w:p>
                  <w:pPr>
                    <w:pStyle w:val="Compact"/>
                    <w:jc w:val="left"/>
                    <w:jc w:val="center"/>
                  </w:pPr>
                  <w:r>
                    <w:t xml:space="preserve">Bisexual</w:t>
                  </w:r>
                </w:p>
              </w:tc>
              <w:tc>
                <w:tcPr/>
                <w:p>
                  <w:pPr>
                    <w:pStyle w:val="Compact"/>
                    <w:jc w:val="right"/>
                    <w:jc w:val="center"/>
                  </w:pPr>
                  <w:r>
                    <w:t xml:space="preserve">40</w:t>
                  </w:r>
                </w:p>
              </w:tc>
              <w:tc>
                <w:tcPr/>
                <w:p>
                  <w:pPr>
                    <w:pStyle w:val="Compact"/>
                    <w:jc w:val="right"/>
                    <w:jc w:val="center"/>
                  </w:pPr>
                  <w:r>
                    <w:t xml:space="preserve">13.3</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5.6</w:t>
                  </w:r>
                </w:p>
              </w:tc>
            </w:tr>
            <w:tr>
              <w:tc>
                <w:tcPr/>
                <w:p>
                  <w:pPr>
                    <w:pStyle w:val="Compact"/>
                    <w:jc w:val="left"/>
                    <w:jc w:val="center"/>
                  </w:pPr>
                  <w:r>
                    <w:t xml:space="preserve">Asian</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Black/African American</w:t>
                  </w:r>
                </w:p>
              </w:tc>
              <w:tc>
                <w:tcPr/>
                <w:p>
                  <w:pPr>
                    <w:pStyle w:val="Compact"/>
                    <w:jc w:val="right"/>
                    <w:jc w:val="center"/>
                  </w:pPr>
                  <w:r>
                    <w:t xml:space="preserve">46</w:t>
                  </w:r>
                </w:p>
              </w:tc>
              <w:tc>
                <w:tcPr/>
                <w:p>
                  <w:pPr>
                    <w:pStyle w:val="Compact"/>
                    <w:jc w:val="right"/>
                    <w:jc w:val="center"/>
                  </w:pPr>
                  <w:r>
                    <w:t xml:space="preserve">15.3</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237</w:t>
                  </w:r>
                </w:p>
              </w:tc>
              <w:tc>
                <w:tcPr/>
                <w:p>
                  <w:pPr>
                    <w:pStyle w:val="Compact"/>
                    <w:jc w:val="right"/>
                    <w:jc w:val="center"/>
                  </w:pPr>
                  <w:r>
                    <w:t xml:space="preserve">78.7</w:t>
                  </w:r>
                </w:p>
              </w:tc>
            </w:tr>
            <w:tr>
              <w:tc>
                <w:tcPr/>
                <w:p>
                  <w:pPr>
                    <w:pStyle w:val="Compact"/>
                    <w:jc w:val="left"/>
                    <w:jc w:val="center"/>
                  </w:pPr>
                  <w:r>
                    <w:t xml:space="preserve">Hispanic, Latino, or Spanish origin</w:t>
                  </w:r>
                </w:p>
              </w:tc>
              <w:tc>
                <w:tcPr/>
                <w:p>
                  <w:pPr>
                    <w:pStyle w:val="Compact"/>
                    <w:jc w:val="right"/>
                    <w:jc w:val="center"/>
                  </w:pPr>
                  <w:r>
                    <w:t xml:space="preserve">24</w:t>
                  </w:r>
                </w:p>
              </w:tc>
              <w:tc>
                <w:tcPr/>
                <w:p>
                  <w:pPr>
                    <w:pStyle w:val="Compact"/>
                    <w:jc w:val="right"/>
                    <w:jc w:val="center"/>
                  </w:pPr>
                  <w:r>
                    <w:t xml:space="preserve">8.0</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High school graduate or GED</w:t>
                  </w:r>
                </w:p>
              </w:tc>
              <w:tc>
                <w:tcPr/>
                <w:p>
                  <w:pPr>
                    <w:pStyle w:val="Compact"/>
                    <w:jc w:val="right"/>
                    <w:jc w:val="center"/>
                  </w:pPr>
                  <w:r>
                    <w:t xml:space="preserve">95</w:t>
                  </w:r>
                </w:p>
              </w:tc>
              <w:tc>
                <w:tcPr/>
                <w:p>
                  <w:pPr>
                    <w:pStyle w:val="Compact"/>
                    <w:jc w:val="right"/>
                    <w:jc w:val="center"/>
                  </w:pPr>
                  <w:r>
                    <w:t xml:space="preserve">31.6</w:t>
                  </w:r>
                </w:p>
              </w:tc>
            </w:tr>
            <w:tr>
              <w:tc>
                <w:tcPr/>
                <w:p>
                  <w:pPr>
                    <w:pStyle w:val="Compact"/>
                    <w:jc w:val="left"/>
                    <w:jc w:val="center"/>
                  </w:pPr>
                  <w:r>
                    <w:t xml:space="preserve">Some college or 2-year degree</w:t>
                  </w:r>
                </w:p>
              </w:tc>
              <w:tc>
                <w:tcPr/>
                <w:p>
                  <w:pPr>
                    <w:pStyle w:val="Compact"/>
                    <w:jc w:val="right"/>
                    <w:jc w:val="center"/>
                  </w:pPr>
                  <w:r>
                    <w:t xml:space="preserve">131</w:t>
                  </w:r>
                </w:p>
              </w:tc>
              <w:tc>
                <w:tcPr/>
                <w:p>
                  <w:pPr>
                    <w:pStyle w:val="Compact"/>
                    <w:jc w:val="right"/>
                    <w:jc w:val="center"/>
                  </w:pPr>
                  <w:r>
                    <w:t xml:space="preserve">43.5</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4.0</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33</w:t>
                  </w:r>
                </w:p>
              </w:tc>
              <w:tc>
                <w:tcPr/>
                <w:p>
                  <w:pPr>
                    <w:pStyle w:val="Compact"/>
                    <w:jc w:val="right"/>
                    <w:jc w:val="center"/>
                  </w:pPr>
                  <w:r>
                    <w:t xml:space="preserve">11.0</w:t>
                  </w:r>
                </w:p>
              </w:tc>
            </w:tr>
            <w:tr>
              <w:tc>
                <w:tcPr/>
                <w:p>
                  <w:pPr>
                    <w:pStyle w:val="Compact"/>
                    <w:jc w:val="left"/>
                    <w:jc w:val="center"/>
                  </w:pPr>
                  <w:r>
                    <w:t xml:space="preserve">Employed, working 1-39 hours per week</w:t>
                  </w:r>
                </w:p>
              </w:tc>
              <w:tc>
                <w:tcPr/>
                <w:p>
                  <w:pPr>
                    <w:pStyle w:val="Compact"/>
                    <w:jc w:val="right"/>
                    <w:jc w:val="center"/>
                  </w:pPr>
                  <w:r>
                    <w:t xml:space="preserve">66</w:t>
                  </w:r>
                </w:p>
              </w:tc>
              <w:tc>
                <w:tcPr/>
                <w:p>
                  <w:pPr>
                    <w:pStyle w:val="Compact"/>
                    <w:jc w:val="right"/>
                    <w:jc w:val="center"/>
                  </w:pPr>
                  <w:r>
                    <w:t xml:space="preserve">21.9</w:t>
                  </w:r>
                </w:p>
              </w:tc>
            </w:tr>
            <w:tr>
              <w:tc>
                <w:tcPr/>
                <w:p>
                  <w:pPr>
                    <w:pStyle w:val="Compact"/>
                    <w:jc w:val="left"/>
                    <w:jc w:val="center"/>
                  </w:pPr>
                  <w:r>
                    <w:t xml:space="preserve">Employed, working 40 or more hours per week</w:t>
                  </w:r>
                </w:p>
              </w:tc>
              <w:tc>
                <w:tcPr/>
                <w:p>
                  <w:pPr>
                    <w:pStyle w:val="Compact"/>
                    <w:jc w:val="right"/>
                    <w:jc w:val="center"/>
                  </w:pPr>
                  <w:r>
                    <w:t xml:space="preserve">56</w:t>
                  </w:r>
                </w:p>
              </w:tc>
              <w:tc>
                <w:tcPr/>
                <w:p>
                  <w:pPr>
                    <w:pStyle w:val="Compact"/>
                    <w:jc w:val="right"/>
                    <w:jc w:val="center"/>
                  </w:pPr>
                  <w:r>
                    <w:t xml:space="preserve">18.6</w:t>
                  </w:r>
                </w:p>
              </w:tc>
            </w:tr>
            <w:tr>
              <w:tc>
                <w:tcPr/>
                <w:p>
                  <w:pPr>
                    <w:pStyle w:val="Compact"/>
                    <w:jc w:val="left"/>
                    <w:jc w:val="center"/>
                  </w:pPr>
                  <w:r>
                    <w:t xml:space="preserve">Not employed, NOT looking for work</w:t>
                  </w:r>
                </w:p>
              </w:tc>
              <w:tc>
                <w:tcPr/>
                <w:p>
                  <w:pPr>
                    <w:pStyle w:val="Compact"/>
                    <w:jc w:val="right"/>
                    <w:jc w:val="center"/>
                  </w:pPr>
                  <w:r>
                    <w:t xml:space="preserve">31</w:t>
                  </w:r>
                </w:p>
              </w:tc>
              <w:tc>
                <w:tcPr/>
                <w:p>
                  <w:pPr>
                    <w:pStyle w:val="Compact"/>
                    <w:jc w:val="right"/>
                    <w:jc w:val="center"/>
                  </w:pPr>
                  <w:r>
                    <w:t xml:space="preserve">10.3</w:t>
                  </w:r>
                </w:p>
              </w:tc>
            </w:tr>
            <w:tr>
              <w:tc>
                <w:tcPr/>
                <w:p>
                  <w:pPr>
                    <w:pStyle w:val="Compact"/>
                    <w:jc w:val="left"/>
                    <w:jc w:val="center"/>
                  </w:pPr>
                  <w:r>
                    <w:t xml:space="preserve">Not employed, looking for work</w:t>
                  </w:r>
                </w:p>
              </w:tc>
              <w:tc>
                <w:tcPr/>
                <w:p>
                  <w:pPr>
                    <w:pStyle w:val="Compact"/>
                    <w:jc w:val="right"/>
                    <w:jc w:val="center"/>
                  </w:pPr>
                  <w:r>
                    <w:t xml:space="preserve">110</w:t>
                  </w:r>
                </w:p>
              </w:tc>
              <w:tc>
                <w:tcPr/>
                <w:p>
                  <w:pPr>
                    <w:pStyle w:val="Compact"/>
                    <w:jc w:val="right"/>
                    <w:jc w:val="center"/>
                  </w:pPr>
                  <w:r>
                    <w:t xml:space="preserve">36.5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170</w:t>
                  </w:r>
                </w:p>
              </w:tc>
              <w:tc>
                <w:tcPr/>
                <w:p>
                  <w:pPr>
                    <w:pStyle w:val="Compact"/>
                    <w:jc w:val="right"/>
                    <w:jc w:val="center"/>
                  </w:pPr>
                  <w:r>
                    <w:t xml:space="preserve">56.5</w:t>
                  </w:r>
                </w:p>
              </w:tc>
            </w:tr>
            <w:tr>
              <w:tc>
                <w:tcPr/>
                <w:p>
                  <w:pPr>
                    <w:pStyle w:val="Compact"/>
                    <w:jc w:val="left"/>
                    <w:jc w:val="center"/>
                  </w:pPr>
                  <w:r>
                    <w:t xml:space="preserve">$25,000 - $34,999</w:t>
                  </w:r>
                </w:p>
              </w:tc>
              <w:tc>
                <w:tcPr/>
                <w:p>
                  <w:pPr>
                    <w:pStyle w:val="Compact"/>
                    <w:jc w:val="right"/>
                    <w:jc w:val="center"/>
                  </w:pPr>
                  <w:r>
                    <w:t xml:space="preserve">41</w:t>
                  </w:r>
                </w:p>
              </w:tc>
              <w:tc>
                <w:tcPr/>
                <w:p>
                  <w:pPr>
                    <w:pStyle w:val="Compact"/>
                    <w:jc w:val="right"/>
                    <w:jc w:val="center"/>
                  </w:pPr>
                  <w:r>
                    <w:t xml:space="preserve">13.6</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12.6</w:t>
                  </w:r>
                </w:p>
              </w:tc>
            </w:tr>
            <w:tr>
              <w:tc>
                <w:tcPr/>
                <w:p>
                  <w:pPr>
                    <w:pStyle w:val="Compact"/>
                    <w:jc w:val="left"/>
                    <w:jc w:val="center"/>
                  </w:pPr>
                  <w:r>
                    <w:t xml:space="preserve">$50,000 - $74,999</w:t>
                  </w:r>
                </w:p>
              </w:tc>
              <w:tc>
                <w:tcPr/>
                <w:p>
                  <w:pPr>
                    <w:pStyle w:val="Compact"/>
                    <w:jc w:val="right"/>
                    <w:jc w:val="center"/>
                  </w:pPr>
                  <w:r>
                    <w:t xml:space="preserve">28</w:t>
                  </w:r>
                </w:p>
              </w:tc>
              <w:tc>
                <w:tcPr/>
                <w:p>
                  <w:pPr>
                    <w:pStyle w:val="Compact"/>
                    <w:jc w:val="right"/>
                    <w:jc w:val="center"/>
                  </w:pPr>
                  <w:r>
                    <w:t xml:space="preserve">9.3</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$100,000 - $149,999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202</w:t>
                  </w:r>
                </w:p>
              </w:tc>
              <w:tc>
                <w:tcPr/>
                <w:p>
                  <w:pPr>
                    <w:pStyle w:val="Compact"/>
                    <w:jc w:val="right"/>
                    <w:jc w:val="center"/>
                  </w:pPr>
                  <w:r>
                    <w:t xml:space="preserve">67.1</w:t>
                  </w:r>
                </w:p>
              </w:tc>
            </w:tr>
            <w:tr>
              <w:tc>
                <w:tcPr/>
                <w:p>
                  <w:pPr>
                    <w:pStyle w:val="Compact"/>
                    <w:jc w:val="left"/>
                    <w:jc w:val="center"/>
                  </w:pPr>
                  <w:r>
                    <w:t xml:space="preserve">Yes</w:t>
                  </w:r>
                </w:p>
              </w:tc>
              <w:tc>
                <w:tcPr/>
                <w:p>
                  <w:pPr>
                    <w:pStyle w:val="Compact"/>
                    <w:jc w:val="right"/>
                    <w:jc w:val="center"/>
                  </w:pPr>
                  <w:r>
                    <w:t xml:space="preserve">97</w:t>
                  </w:r>
                </w:p>
              </w:tc>
              <w:tc>
                <w:tcPr/>
                <w:p>
                  <w:pPr>
                    <w:pStyle w:val="Compact"/>
                    <w:jc w:val="right"/>
                    <w:jc w:val="center"/>
                  </w:pPr>
                  <w:r>
                    <w:t xml:space="preserve">32.2</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195</w:t>
                  </w:r>
                </w:p>
              </w:tc>
              <w:tc>
                <w:tcPr/>
                <w:p>
                  <w:pPr>
                    <w:pStyle w:val="Compact"/>
                    <w:jc w:val="right"/>
                    <w:jc w:val="center"/>
                  </w:pPr>
                  <w:r>
                    <w:t xml:space="preserve">64.8</w:t>
                  </w:r>
                </w:p>
              </w:tc>
            </w:tr>
            <w:tr>
              <w:tc>
                <w:tcPr/>
                <w:p>
                  <w:pPr>
                    <w:pStyle w:val="Compact"/>
                    <w:jc w:val="left"/>
                    <w:jc w:val="center"/>
                  </w:pPr>
                  <w:r>
                    <w:t xml:space="preserve">Yes</w:t>
                  </w:r>
                </w:p>
              </w:tc>
              <w:tc>
                <w:tcPr/>
                <w:p>
                  <w:pPr>
                    <w:pStyle w:val="Compact"/>
                    <w:jc w:val="right"/>
                    <w:jc w:val="center"/>
                  </w:pPr>
                  <w:r>
                    <w:t xml:space="preserve">105</w:t>
                  </w:r>
                </w:p>
              </w:tc>
              <w:tc>
                <w:tcPr/>
                <w:p>
                  <w:pPr>
                    <w:pStyle w:val="Compact"/>
                    <w:jc w:val="right"/>
                    <w:jc w:val="center"/>
                  </w:pPr>
                  <w:r>
                    <w:t xml:space="preserve">34.9</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154</w:t>
                  </w:r>
                </w:p>
              </w:tc>
              <w:tc>
                <w:tcPr/>
                <w:p>
                  <w:pPr>
                    <w:pStyle w:val="Compact"/>
                    <w:jc w:val="right"/>
                    <w:jc w:val="center"/>
                  </w:pPr>
                  <w:r>
                    <w:t xml:space="preserve">51.2</w:t>
                  </w:r>
                </w:p>
              </w:tc>
            </w:tr>
            <w:tr>
              <w:tc>
                <w:tcPr/>
                <w:p>
                  <w:pPr>
                    <w:pStyle w:val="Compact"/>
                    <w:jc w:val="left"/>
                    <w:jc w:val="center"/>
                  </w:pPr>
                  <w:r>
                    <w:t xml:space="preserve">Yes</w:t>
                  </w:r>
                </w:p>
              </w:tc>
              <w:tc>
                <w:tcPr/>
                <w:p>
                  <w:pPr>
                    <w:pStyle w:val="Compact"/>
                    <w:jc w:val="right"/>
                    <w:jc w:val="center"/>
                  </w:pPr>
                  <w:r>
                    <w:t xml:space="preserve">146</w:t>
                  </w:r>
                </w:p>
              </w:tc>
              <w:tc>
                <w:tcPr/>
                <w:p>
                  <w:pPr>
                    <w:pStyle w:val="Compact"/>
                    <w:jc w:val="right"/>
                    <w:jc w:val="center"/>
                  </w:pPr>
                  <w:r>
                    <w:t xml:space="preserve">48.5</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53</w:t>
                  </w:r>
                </w:p>
              </w:tc>
              <w:tc>
                <w:tcPr/>
                <w:p>
                  <w:pPr>
                    <w:pStyle w:val="Compact"/>
                    <w:jc w:val="right"/>
                    <w:jc w:val="center"/>
                  </w:pPr>
                  <w:r>
                    <w:t xml:space="preserve">17.6</w:t>
                  </w:r>
                </w:p>
              </w:tc>
            </w:tr>
            <w:tr>
              <w:tc>
                <w:tcPr/>
                <w:p>
                  <w:pPr>
                    <w:pStyle w:val="Compact"/>
                    <w:jc w:val="left"/>
                    <w:jc w:val="center"/>
                  </w:pPr>
                  <w:r>
                    <w:t xml:space="preserve">Heroin</w:t>
                  </w:r>
                </w:p>
              </w:tc>
              <w:tc>
                <w:tcPr/>
                <w:p>
                  <w:pPr>
                    <w:pStyle w:val="Compact"/>
                    <w:jc w:val="right"/>
                    <w:jc w:val="center"/>
                  </w:pPr>
                  <w:r>
                    <w:t xml:space="preserve">120</w:t>
                  </w:r>
                </w:p>
              </w:tc>
              <w:tc>
                <w:tcPr/>
                <w:p>
                  <w:pPr>
                    <w:pStyle w:val="Compact"/>
                    <w:jc w:val="right"/>
                    <w:jc w:val="center"/>
                  </w:pPr>
                  <w:r>
                    <w:t xml:space="preserve">39.9</w:t>
                  </w:r>
                </w:p>
              </w:tc>
            </w:tr>
            <w:tr>
              <w:tc>
                <w:tcPr/>
                <w:p>
                  <w:pPr>
                    <w:pStyle w:val="Compact"/>
                    <w:jc w:val="left"/>
                    <w:jc w:val="center"/>
                  </w:pPr>
                  <w:r>
                    <w:t xml:space="preserve">Prescription opioid not for opioid treatment</w:t>
                  </w:r>
                </w:p>
              </w:tc>
              <w:tc>
                <w:tcPr/>
                <w:p>
                  <w:pPr>
                    <w:pStyle w:val="Compact"/>
                    <w:jc w:val="right"/>
                    <w:jc w:val="center"/>
                  </w:pPr>
                  <w:r>
                    <w:t xml:space="preserve">96</w:t>
                  </w:r>
                </w:p>
              </w:tc>
              <w:tc>
                <w:tcPr/>
                <w:p>
                  <w:pPr>
                    <w:pStyle w:val="Compact"/>
                    <w:jc w:val="right"/>
                    <w:jc w:val="center"/>
                  </w:pPr>
                  <w:r>
                    <w:t xml:space="preserve">31.9</w:t>
                  </w:r>
                </w:p>
              </w:tc>
            </w:tr>
            <w:tr>
              <w:tc>
                <w:tcPr/>
                <w:p>
                  <w:pPr>
                    <w:pStyle w:val="Compact"/>
                    <w:jc w:val="left"/>
                    <w:jc w:val="center"/>
                  </w:pPr>
                  <w:r>
                    <w:t xml:space="preserve">Medication for opioid treatment</w:t>
                  </w:r>
                </w:p>
              </w:tc>
              <w:tc>
                <w:tcPr/>
                <w:p>
                  <w:pPr>
                    <w:pStyle w:val="Compact"/>
                    <w:jc w:val="right"/>
                    <w:jc w:val="center"/>
                  </w:pPr>
                  <w:r>
                    <w:t xml:space="preserve">29</w:t>
                  </w:r>
                </w:p>
              </w:tc>
              <w:tc>
                <w:tcPr/>
                <w:p>
                  <w:pPr>
                    <w:pStyle w:val="Compact"/>
                    <w:jc w:val="right"/>
                    <w:jc w:val="center"/>
                  </w:pPr>
                  <w:r>
                    <w:t xml:space="preserve">9.6</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103</w:t>
                  </w:r>
                </w:p>
              </w:tc>
              <w:tc>
                <w:tcPr/>
                <w:p>
                  <w:pPr>
                    <w:pStyle w:val="Compact"/>
                    <w:jc w:val="right"/>
                    <w:jc w:val="center"/>
                  </w:pPr>
                  <w:r>
                    <w:t xml:space="preserve">34.2</w:t>
                  </w:r>
                </w:p>
              </w:tc>
            </w:tr>
            <w:tr>
              <w:tc>
                <w:tcPr/>
                <w:p>
                  <w:pPr>
                    <w:pStyle w:val="Compact"/>
                    <w:jc w:val="left"/>
                    <w:jc w:val="center"/>
                  </w:pPr>
                  <w:r>
                    <w:t xml:space="preserve">Oral</w:t>
                  </w:r>
                </w:p>
              </w:tc>
              <w:tc>
                <w:tcPr/>
                <w:p>
                  <w:pPr>
                    <w:pStyle w:val="Compact"/>
                    <w:jc w:val="right"/>
                    <w:jc w:val="center"/>
                  </w:pPr>
                  <w:r>
                    <w:t xml:space="preserve">57</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54</w:t>
                  </w:r>
                </w:p>
              </w:tc>
              <w:tc>
                <w:tcPr/>
                <w:p>
                  <w:pPr>
                    <w:pStyle w:val="Compact"/>
                    <w:jc w:val="right"/>
                    <w:jc w:val="center"/>
                  </w:pPr>
                  <w:r>
                    <w:t xml:space="preserve">17.9</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27.6</w:t>
                  </w:r>
                </w:p>
              </w:tc>
            </w:tr>
            <w:tr>
              <w:tc>
                <w:tcPr/>
                <w:p>
                  <w:pPr>
                    <w:pStyle w:val="Compact"/>
                    <w:jc w:val="left"/>
                    <w:jc w:val="center"/>
                  </w:pPr>
                  <w:r>
                    <w:t xml:space="preserve">Other</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126</w:t>
                  </w:r>
                </w:p>
              </w:tc>
              <w:tc>
                <w:tcPr/>
                <w:p>
                  <w:pPr>
                    <w:pStyle w:val="Compact"/>
                    <w:jc w:val="right"/>
                    <w:jc w:val="center"/>
                  </w:pPr>
                  <w:r>
                    <w:t xml:space="preserve">41.9</w:t>
                  </w:r>
                </w:p>
              </w:tc>
            </w:tr>
            <w:tr>
              <w:tc>
                <w:tcPr/>
                <w:p>
                  <w:pPr>
                    <w:pStyle w:val="Compact"/>
                    <w:jc w:val="left"/>
                    <w:jc w:val="center"/>
                  </w:pPr>
                  <w:r>
                    <w:t xml:space="preserve">1 time</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2-3 times</w:t>
                  </w:r>
                </w:p>
              </w:tc>
              <w:tc>
                <w:tcPr/>
                <w:p>
                  <w:pPr>
                    <w:pStyle w:val="Compact"/>
                    <w:jc w:val="right"/>
                    <w:jc w:val="center"/>
                  </w:pPr>
                  <w:r>
                    <w:t xml:space="preserve">71</w:t>
                  </w:r>
                </w:p>
              </w:tc>
              <w:tc>
                <w:tcPr/>
                <w:p>
                  <w:pPr>
                    <w:pStyle w:val="Compact"/>
                    <w:jc w:val="right"/>
                    <w:jc w:val="center"/>
                  </w:pPr>
                  <w:r>
                    <w:t xml:space="preserve">23.6</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8.6</w:t>
                  </w:r>
                </w:p>
              </w:tc>
            </w:tr>
            <w:tr>
              <w:tc>
                <w:tcPr/>
                <w:p>
                  <w:pPr>
                    <w:pStyle w:val="Compact"/>
                    <w:jc w:val="left"/>
                    <w:jc w:val="center"/>
                  </w:pPr>
                  <w:r>
                    <w:t xml:space="preserve">More than 5 times</w:t>
                  </w:r>
                </w:p>
              </w:tc>
              <w:tc>
                <w:tcPr/>
                <w:p>
                  <w:pPr>
                    <w:pStyle w:val="Compact"/>
                    <w:jc w:val="right"/>
                    <w:jc w:val="center"/>
                  </w:pPr>
                  <w:r>
                    <w:t xml:space="preserve">37</w:t>
                  </w:r>
                </w:p>
              </w:tc>
              <w:tc>
                <w:tcPr/>
                <w:p>
                  <w:pPr>
                    <w:pStyle w:val="Compact"/>
                    <w:jc w:val="right"/>
                    <w:jc w:val="center"/>
                  </w:pPr>
                  <w:r>
                    <w:t xml:space="preserve">12.3</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301</w:t>
                  </w:r>
                </w:p>
              </w:tc>
              <w:tc>
                <w:tcPr/>
                <w:p>
                  <w:pPr>
                    <w:pStyle w:val="Compact"/>
                  </w:pPr>
                </w:p>
              </w:tc>
              <w:tc>
                <w:tcPr/>
                <w:p>
                  <w:pPr>
                    <w:pStyle w:val="Compact"/>
                  </w:pPr>
                </w:p>
              </w:tc>
            </w:tr>
          </w:tbl>
          <w:bookmarkEnd w:id="36"/>
          <w:p/>
        </w:tc>
      </w:tr>
    </w:tbl>
    <w:bookmarkEnd w:id="37"/>
    <w:bookmarkStart w:id="38" w:name="adherence-and-labels"/>
    <w:p>
      <w:pPr>
        <w:pStyle w:val="Heading2"/>
      </w:pPr>
      <w:r>
        <w:t xml:space="preserve">Adherence and Labels</w:t>
      </w:r>
    </w:p>
    <w:p>
      <w:pPr>
        <w:pStyle w:val="FirstParagraph"/>
      </w:pPr>
      <w:r>
        <w:t xml:space="preserve">Median days on study across participants was 356 days (range 32-395 days). 83% of participants remained on study for at least six months. EMA adherence was high. On average participants completed 73% of the daily EMA prompts (range 24-100%). Participants provided on average</w:t>
      </w:r>
      <w:r>
        <w:t xml:space="preserve"> </w:t>
      </w:r>
    </w:p>
    <w:p>
      <w:pPr>
        <w:pStyle w:val="BodyText"/>
      </w:pPr>
      <w:r>
        <w:t xml:space="preserve">Across participants we generated a total of 89,125 labels. Thirty-nine percent of participants reported an opioid lapse while on study (mean=5.34, range 0-76). This resulted in 1.80% of the labels positive for lapse (1,608/89,125 labels).</w:t>
      </w:r>
    </w:p>
    <w:bookmarkEnd w:id="38"/>
    <w:bookmarkStart w:id="43" w:name="performance"/>
    <w:p>
      <w:pPr>
        <w:pStyle w:val="Heading2"/>
      </w:pPr>
      <w:r>
        <w:t xml:space="preserve">Performance</w:t>
      </w:r>
    </w:p>
    <w:p>
      <w:pPr>
        <w:pStyle w:val="FirstParagraph"/>
      </w:pPr>
      <w:r>
        <w:t xml:space="preserve">The best model configuration was a down-sampled xgboost statistical algorithm that used only the dynamic feature set (i.e., features from EMA and geolocation). The median posterior probability for the best model was 0.93, with narrow 95% CI ([0.92, 0.94]).</w:t>
      </w:r>
    </w:p>
    <w:p>
      <w:pPr>
        <w:pStyle w:val="BodyText"/>
      </w:pPr>
      <w:r>
        <w:t xml:space="preserve">We compared our best model’s performance to a baseline model that only used information gathered at baseline (demographics and individual differences in OUD characteristics) to evaluate the predictive value of adding dynamic features. The median posterior probability for the baseline model was 0.74 (95% CI [0.71, 0.77]). A Bayesian model comparison revealed extremely strong evidence that the best model was more predictive than the baseline model (probability = 1.00).</w:t>
      </w:r>
    </w:p>
    <w:p>
      <w:pPr>
        <w:pStyle w:val="BodyText"/>
      </w:pPr>
      <w:r>
        <w:t xml:space="preserve">Our fairness subgroup comparisons revealed no evidence that performance meaningfully differed by geographic location (probability = 0.68), weak evidence that performance differed by education (probability = 0.83), and strong evidence that performance differed by gender, income, and race and ethnicity (probabilities &gt; 0.99). Notably, our model performed better for individuals with an annual income below the federal poverty line compared to individuals above the federal poverty line, thus favoring the disadvantaged group. While differences in performance estimates exist across subgroups, they are not likely clinically meaningful as all of our subgroups yielded median auROCs between 0.91 - 0.94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2" w:name="fig-1"/>
          <w:p>
            <w:pPr>
              <w:pStyle w:val="Compact"/>
              <w:jc w:val="center"/>
            </w:pPr>
            <w:r>
              <w:drawing>
                <wp:inline>
                  <wp:extent cx="5334000" cy="3809999"/>
                  <wp:effectExtent b="0" l="0" r="0" t="0"/>
                  <wp:docPr descr="" title="" id="40" name="Picture"/>
                  <a:graphic>
                    <a:graphicData uri="http://schemas.openxmlformats.org/drawingml/2006/picture">
                      <pic:pic>
                        <pic:nvPicPr>
                          <pic:cNvPr descr="index_files/figure-docx/notebooks-mak_figures-fig-1-output-1.png" id="41" name="Picture"/>
                          <pic:cNvPicPr>
                            <a:picLocks noChangeArrowheads="1" noChangeAspect="1"/>
                          </pic:cNvPicPr>
                        </pic:nvPicPr>
                        <pic:blipFill>
                          <a:blip r:embed="rId39"/>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above poverty, urban or surburban geographic location, and some college education) are depicted in dark purple. Subgroups disadvantaged in access to substance use treatment and outcomes (not male, Hispanic and/or not White, below poverty, small town or rural geographic location, and high school education or less) are depicted in green. Overall model performance across groups is depicted as the dashed grey line.</w:t>
            </w:r>
          </w:p>
          <w:bookmarkEnd w:id="42"/>
        </w:tc>
      </w:tr>
    </w:tbl>
    <w:bookmarkEnd w:id="43"/>
    <w:bookmarkStart w:id="48" w:name="calibration-1"/>
    <w:p>
      <w:pPr>
        <w:pStyle w:val="Heading2"/>
      </w:pPr>
      <w:r>
        <w:t xml:space="preserve">Calibration</w:t>
      </w:r>
    </w:p>
    <w:p>
      <w:pPr>
        <w:pStyle w:val="FirstParagraph"/>
      </w:pPr>
      <w:r>
        <w:t xml:space="preserve">Our raw model predicted probabilities were generally well-calibrated (brier score = 0.015). We attempted to improve calibration with Platt scaling but results were comparable (brier score = 0.015). Calibration plots for the raw uncalibrated probabilities and calibrated probabilities with Platt scaline are presented in</w:t>
      </w:r>
      <w:r>
        <w:t xml:space="preserve"> </w:t>
      </w:r>
      <w:r>
        <w:rPr>
          <w:b/>
          <w:bCs/>
        </w:rPr>
        <w:t xml:space="preserve">?@fig-cal</w:t>
      </w:r>
      <w:r>
        <w:t xml:space="preserve">. Histograms of predicted probabilities by true lapse outcome are available in the supplement.</w:t>
      </w:r>
    </w:p>
    <w:tbl>
      <w:tblPr>
        <w:tblStyle w:val="Table"/>
        <w:tblW w:type="pct" w:w="5000"/>
        <w:tblLayout w:type="fixed"/>
        <w:tblLook w:firstRow="0" w:lastRow="0" w:firstColumn="0" w:lastColumn="0" w:noHBand="0" w:noVBand="0" w:val="0000"/>
      </w:tblPr>
      <w:tblGrid>
        <w:gridCol w:w="7920"/>
      </w:tblGrid>
      <w:tr>
        <w:tc>
          <w:tcPr/>
          <w:bookmarkStart w:id="47" w:name="fig-2"/>
          <w:p>
            <w:pPr>
              <w:pStyle w:val="Compact"/>
              <w:jc w:val="center"/>
            </w:pPr>
            <w:r>
              <w:drawing>
                <wp:inline>
                  <wp:extent cx="5334000" cy="3809999"/>
                  <wp:effectExtent b="0" l="0" r="0" t="0"/>
                  <wp:docPr descr="" title="" id="45" name="Picture"/>
                  <a:graphic>
                    <a:graphicData uri="http://schemas.openxmlformats.org/drawingml/2006/picture">
                      <pic:pic>
                        <pic:nvPicPr>
                          <pic:cNvPr descr="index_files/figure-docx/notebooks-mak_figures-fig-2-output-1.png" id="46" name="Picture"/>
                          <pic:cNvPicPr>
                            <a:picLocks noChangeArrowheads="1" noChangeAspect="1"/>
                          </pic:cNvPicPr>
                        </pic:nvPicPr>
                        <pic:blipFill>
                          <a:blip r:embed="rId44"/>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Calibration plots of raw and calibrated lapse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dark purple lines Platt calibrated probabilities are depicted as green dashed lines.</w:t>
            </w:r>
          </w:p>
          <w:bookmarkEnd w:id="47"/>
        </w:tc>
      </w:tr>
    </w:tbl>
    <w:bookmarkEnd w:id="48"/>
    <w:bookmarkStart w:id="57" w:name="feature-importance-1"/>
    <w:p>
      <w:pPr>
        <w:pStyle w:val="Heading2"/>
      </w:pPr>
      <w:r>
        <w:t xml:space="preserve">Feature Importance</w:t>
      </w:r>
    </w:p>
    <w:tbl>
      <w:tblPr>
        <w:tblStyle w:val="Table"/>
        <w:tblW w:type="pct" w:w="5000"/>
        <w:tblLayout w:type="fixed"/>
        <w:tblLook w:firstRow="0" w:lastRow="0" w:firstColumn="0" w:lastColumn="0" w:noHBand="0" w:noVBand="0" w:val="0000"/>
      </w:tblPr>
      <w:tblGrid>
        <w:gridCol w:w="7920"/>
      </w:tblGrid>
      <w:tr>
        <w:tc>
          <w:tcPr/>
          <w:bookmarkStart w:id="52" w:name="fig-5"/>
          <w:p>
            <w:pPr>
              <w:pStyle w:val="Compact"/>
              <w:jc w:val="center"/>
            </w:pPr>
            <w:r>
              <w:drawing>
                <wp:inline>
                  <wp:extent cx="5334000" cy="7467600"/>
                  <wp:effectExtent b="0" l="0" r="0" t="0"/>
                  <wp:docPr descr="" title="" id="50" name="Picture"/>
                  <a:graphic>
                    <a:graphicData uri="http://schemas.openxmlformats.org/drawingml/2006/picture">
                      <pic:pic>
                        <pic:nvPicPr>
                          <pic:cNvPr descr="index_files/figure-docx/notebooks-mak_figures-fig-5-output-1.png" id="51" name="Picture"/>
                          <pic:cNvPicPr>
                            <a:picLocks noChangeArrowheads="1" noChangeAspect="1"/>
                          </pic:cNvPicPr>
                        </pic:nvPicPr>
                        <pic:blipFill>
                          <a:blip r:embed="rId49"/>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Raw feature importance partial dependence plots.</w:t>
            </w:r>
          </w:p>
          <w:bookmarkEnd w:id="52"/>
        </w:tc>
      </w:tr>
    </w:tbl>
    <w:tbl>
      <w:tblPr>
        <w:tblStyle w:val="Table"/>
        <w:tblW w:type="pct" w:w="5000"/>
        <w:tblLayout w:type="fixed"/>
        <w:tblLook w:firstRow="0" w:lastRow="0" w:firstColumn="0" w:lastColumn="0" w:noHBand="0" w:noVBand="0" w:val="0000"/>
      </w:tblPr>
      <w:tblGrid>
        <w:gridCol w:w="7920"/>
      </w:tblGrid>
      <w:tr>
        <w:tc>
          <w:tcPr/>
          <w:bookmarkStart w:id="56" w:name="fig-6"/>
          <w:p>
            <w:pPr>
              <w:pStyle w:val="Compact"/>
              <w:jc w:val="center"/>
            </w:pPr>
            <w:r>
              <w:drawing>
                <wp:inline>
                  <wp:extent cx="5334000" cy="7467600"/>
                  <wp:effectExtent b="0" l="0" r="0" t="0"/>
                  <wp:docPr descr="" title="" id="54" name="Picture"/>
                  <a:graphic>
                    <a:graphicData uri="http://schemas.openxmlformats.org/drawingml/2006/picture">
                      <pic:pic>
                        <pic:nvPicPr>
                          <pic:cNvPr descr="index_files/figure-docx/notebooks-mak_figures-fig-6-output-1.png" id="55" name="Picture"/>
                          <pic:cNvPicPr>
                            <a:picLocks noChangeArrowheads="1" noChangeAspect="1"/>
                          </pic:cNvPicPr>
                        </pic:nvPicPr>
                        <pic:blipFill>
                          <a:blip r:embed="rId53"/>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Difference feature importance partial dependence plots.</w:t>
            </w:r>
          </w:p>
          <w:bookmarkEnd w:id="56"/>
        </w:tc>
      </w:tr>
    </w:tbl>
    <w:bookmarkEnd w:id="57"/>
    <w:bookmarkEnd w:id="58"/>
    <w:bookmarkStart w:id="59" w:name="discussion"/>
    <w:p>
      <w:pPr>
        <w:pStyle w:val="Heading1"/>
      </w:pPr>
      <w:r>
        <w:t xml:space="preserve">Discussion</w:t>
      </w:r>
    </w:p>
    <w:bookmarkEnd w:id="59"/>
    <w:bookmarkStart w:id="70" w:name="references"/>
    <w:p>
      <w:pPr>
        <w:pStyle w:val="Heading1"/>
      </w:pPr>
      <w:r>
        <w:t xml:space="preserve">References</w:t>
      </w:r>
    </w:p>
    <w:bookmarkStart w:id="69" w:name="refs"/>
    <w:bookmarkStart w:id="61"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0">
        <w:r>
          <w:rPr>
            <w:rStyle w:val="Hyperlink"/>
          </w:rPr>
          <w:t xml:space="preserve">https://doi.org/10.21231/GNT1-HW21</w:t>
        </w:r>
      </w:hyperlink>
    </w:p>
    <w:bookmarkEnd w:id="61"/>
    <w:bookmarkStart w:id="63"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62">
        <w:r>
          <w:rPr>
            <w:rStyle w:val="Hyperlink"/>
          </w:rPr>
          <w:t xml:space="preserve">https://doi.org/10.1136/bmj-2023-078378</w:t>
        </w:r>
      </w:hyperlink>
    </w:p>
    <w:bookmarkEnd w:id="63"/>
    <w:bookmarkStart w:id="6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64"/>
    <w:bookmarkStart w:id="65"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65"/>
    <w:bookmarkStart w:id="66"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66"/>
    <w:bookmarkStart w:id="68"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67">
        <w:r>
          <w:rPr>
            <w:rStyle w:val="Hyperlink"/>
          </w:rPr>
          <w:t xml:space="preserve">https://doi.org/10.1016/j.landig.2025.100916</w:t>
        </w:r>
      </w:hyperlink>
    </w:p>
    <w:bookmarkEnd w:id="68"/>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hyperlink" Id="rId67" Target="https://doi.org/10.1016/j.landig.2025.100916" TargetMode="External" /><Relationship Type="http://schemas.openxmlformats.org/officeDocument/2006/relationships/hyperlink" Id="rId62" Target="https://doi.org/10.1136/bmj-2023-078378" TargetMode="External" /><Relationship Type="http://schemas.openxmlformats.org/officeDocument/2006/relationships/hyperlink" Id="rId60" Target="https://doi.org/10.21231/GNT1-HW21"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16/j.landig.2025.100916" TargetMode="External" /><Relationship Type="http://schemas.openxmlformats.org/officeDocument/2006/relationships/hyperlink" Id="rId62" Target="https://doi.org/10.1136/bmj-2023-078378" TargetMode="External" /><Relationship Type="http://schemas.openxmlformats.org/officeDocument/2006/relationships/hyperlink" Id="rId60" Target="https://doi.org/10.21231/GNT1-HW21"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lapse risk prediction in a national sample of individuals with opioid use disorder using personal sensing and machine learning</dc:title>
  <dc:creator>Kendra Wyant; John J. Curtin</dc:creator>
  <cp:keywords>Substance use disorders, Precision mental health</cp:keywords>
  <dcterms:created xsi:type="dcterms:W3CDTF">2025-12-27T20:51:13Z</dcterms:created>
  <dcterms:modified xsi:type="dcterms:W3CDTF">2025-12-27T20:51:13Z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2025-12-27</vt:lpwstr>
  </property>
  <property fmtid="{D5CDD505-2E9C-101B-9397-08002B2CF9AE}" pid="11" name="editor_options">
    <vt:lpwstr/>
  </property>
  <property fmtid="{D5CDD505-2E9C-101B-9397-08002B2CF9AE}" pid="12" name="financial-support">
    <vt:lpwstr>This research was supported by a grant from the National Institute on Drug Abuse (NIDA; R01 DA047315 to John J. Curtin).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