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2026-03-05</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283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the 168-hour feature scoring epoch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spent in transit (i.e., moving faster than 4 miles per hour)</w:t>
      </w:r>
      <w:r>
        <w:t xml:space="preserve"> </w:t>
      </w:r>
      <w:r>
        <w:t xml:space="preserve">, time out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five statistical algorithms that differed in terms of assumptions and bias-variance tradeoff: elastic net, random forest, XGBoost, a single-layer neural network, and a support vector machine.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65"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0.91, with narrow 95% CI ([0.90, 0.92]). To evaluate the incremental predictive value of our dynamic sensing features, we compared the performance of our full model to the performance of three ablated models: 0.62 (ablated daily survey features), 0.92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0.35).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0.294</w:t>
                  </w:r>
                </w:p>
              </w:tc>
              <w:tc>
                <w:tcPr/>
                <w:p>
                  <w:pPr>
                    <w:pStyle w:val="Compact"/>
                    <w:jc w:val="left"/>
                    <w:jc w:val="center"/>
                  </w:pPr>
                  <w:r>
                    <w:t xml:space="preserve">[0.271, 0.317]</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[-0.012, 0.007]</w:t>
                  </w:r>
                </w:p>
              </w:tc>
              <w:tc>
                <w:tcPr/>
                <w:p>
                  <w:pPr>
                    <w:pStyle w:val="Compact"/>
                    <w:jc w:val="left"/>
                    <w:jc w:val="center"/>
                  </w:pPr>
                  <w:r>
                    <w:t xml:space="preserve">0.349</w:t>
                  </w:r>
                </w:p>
              </w:tc>
            </w:tr>
            <w:tr>
              <w:tc>
                <w:tcPr/>
                <w:p>
                  <w:pPr>
                    <w:pStyle w:val="Compact"/>
                    <w:jc w:val="left"/>
                    <w:jc w:val="center"/>
                  </w:pPr>
                  <w:r>
                    <w:t xml:space="preserve">full vs. ablated daily survey and geolocation</w:t>
                  </w:r>
                </w:p>
              </w:tc>
              <w:tc>
                <w:tcPr/>
                <w:p>
                  <w:pPr>
                    <w:pStyle w:val="Compact"/>
                    <w:jc w:val="left"/>
                    <w:jc w:val="center"/>
                  </w:pPr>
                  <w:r>
                    <w:t xml:space="preserve">0.363</w:t>
                  </w:r>
                </w:p>
              </w:tc>
              <w:tc>
                <w:tcPr/>
                <w:p>
                  <w:pPr>
                    <w:pStyle w:val="Compact"/>
                    <w:jc w:val="left"/>
                    <w:jc w:val="center"/>
                  </w:pPr>
                  <w:r>
                    <w:t xml:space="preserve">[0.339, 0.388]</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moderate evidence that performance differed by geographic location (probability = 0.85) and strong evidence that performance differed by gender, income, race and ethnicity, and sexual orientation (probabilities &gt; 0.94).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0.88 - 0.92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down-sampled the majority class.</w:t>
      </w:r>
      <w:r>
        <w:rPr>
          <w:rStyle w:val="FootnoteReference"/>
        </w:rPr>
        <w:footnoteReference w:id="57"/>
      </w:r>
      <w:r>
        <w:t xml:space="preserve"> </w:t>
      </w:r>
      <w:r>
        <w:t xml:space="preserve">This model produced generally well-calibrated raw probabilities (brier score = 0.016). We attempted to improve calibration with Platt scaling and results were comparable (brier score = 0.016). A Calibration plot revealed that our raw model predictions were better aligned with observed lapse frequencies than the Platt-scaled scores across most of the probability range. At higher predicted probabilities, the model exhibited high-variance estimates and therefore poor calibration, driven by very few observations in those bins (only one prediction exceeded 0.6;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64"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bookmarkEnd w:id="64"/>
    <w:bookmarkEnd w:id="65"/>
    <w:bookmarkStart w:id="66"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Daily surveys remain to be a feasible and predictive signal even when measured over a year.</w:t>
      </w:r>
    </w:p>
    <w:bookmarkEnd w:id="66"/>
    <w:bookmarkStart w:id="102" w:name="references"/>
    <w:p>
      <w:pPr>
        <w:pStyle w:val="Heading1"/>
      </w:pPr>
      <w:r>
        <w:t xml:space="preserve">References</w:t>
      </w:r>
    </w:p>
    <w:bookmarkStart w:id="101" w:name="refs"/>
    <w:bookmarkStart w:id="6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7"/>
    <w:bookmarkStart w:id="6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8">
        <w:r>
          <w:rPr>
            <w:rStyle w:val="Hyperlink"/>
          </w:rPr>
          <w:t xml:space="preserve">https://doi.org/10.21231/GNT1-HW21</w:t>
        </w:r>
      </w:hyperlink>
    </w:p>
    <w:bookmarkEnd w:id="69"/>
    <w:bookmarkStart w:id="71"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0">
        <w:r>
          <w:rPr>
            <w:rStyle w:val="Hyperlink"/>
          </w:rPr>
          <w:t xml:space="preserve">https://doi.org/10.1136/bmj-2023-078378</w:t>
        </w:r>
      </w:hyperlink>
    </w:p>
    <w:bookmarkEnd w:id="71"/>
    <w:bookmarkStart w:id="7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2"/>
    <w:bookmarkStart w:id="7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3"/>
    <w:bookmarkStart w:id="75"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74">
        <w:r>
          <w:rPr>
            <w:rStyle w:val="Hyperlink"/>
          </w:rPr>
          <w:t xml:space="preserve">https://doi.org/10.1016/j.drugalcdep.2006.05.012</w:t>
        </w:r>
      </w:hyperlink>
    </w:p>
    <w:bookmarkEnd w:id="75"/>
    <w:bookmarkStart w:id="7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76">
        <w:r>
          <w:rPr>
            <w:rStyle w:val="Hyperlink"/>
          </w:rPr>
          <w:t xml:space="preserve">https://doi.org/10.1001/jamapsychiatry.2013.4642</w:t>
        </w:r>
      </w:hyperlink>
    </w:p>
    <w:bookmarkEnd w:id="77"/>
    <w:bookmarkStart w:id="78"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78"/>
    <w:bookmarkStart w:id="80"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79">
        <w:r>
          <w:rPr>
            <w:rStyle w:val="Hyperlink"/>
          </w:rPr>
          <w:t xml:space="preserve">https://doi.org/10.1001/jamanetworkopen.2020.5852</w:t>
        </w:r>
      </w:hyperlink>
    </w:p>
    <w:bookmarkEnd w:id="80"/>
    <w:bookmarkStart w:id="81"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81"/>
    <w:bookmarkStart w:id="8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82"/>
    <w:bookmarkStart w:id="8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83">
        <w:r>
          <w:rPr>
            <w:rStyle w:val="Hyperlink"/>
          </w:rPr>
          <w:t xml:space="preserve">https://doi.org/10.1111/jrh.70076</w:t>
        </w:r>
      </w:hyperlink>
    </w:p>
    <w:bookmarkEnd w:id="84"/>
    <w:bookmarkStart w:id="8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85"/>
    <w:bookmarkStart w:id="8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86">
        <w:r>
          <w:rPr>
            <w:rStyle w:val="Hyperlink"/>
          </w:rPr>
          <w:t xml:space="preserve">https://doi.org/10.1177/00333549211041554</w:t>
        </w:r>
      </w:hyperlink>
    </w:p>
    <w:bookmarkEnd w:id="87"/>
    <w:bookmarkStart w:id="8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88">
        <w:r>
          <w:rPr>
            <w:rStyle w:val="Hyperlink"/>
          </w:rPr>
          <w:t xml:space="preserve">https://doi.org/10.2196/29563</w:t>
        </w:r>
      </w:hyperlink>
    </w:p>
    <w:bookmarkEnd w:id="89"/>
    <w:bookmarkStart w:id="91"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90">
        <w:r>
          <w:rPr>
            <w:rStyle w:val="Hyperlink"/>
          </w:rPr>
          <w:t xml:space="preserve">https://doi.org/10.1016/j.jsat.2021.108710</w:t>
        </w:r>
      </w:hyperlink>
    </w:p>
    <w:bookmarkEnd w:id="91"/>
    <w:bookmarkStart w:id="9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92">
        <w:r>
          <w:rPr>
            <w:rStyle w:val="Hyperlink"/>
          </w:rPr>
          <w:t xml:space="preserve">https://doi.org/10.1016/j.drugalcdep.2019.05.017</w:t>
        </w:r>
      </w:hyperlink>
    </w:p>
    <w:bookmarkEnd w:id="93"/>
    <w:bookmarkStart w:id="9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94"/>
    <w:bookmarkStart w:id="9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95">
        <w:r>
          <w:rPr>
            <w:rStyle w:val="Hyperlink"/>
          </w:rPr>
          <w:t xml:space="preserve">https://doi.org/10.1016/j.landig.2025.100916</w:t>
        </w:r>
      </w:hyperlink>
    </w:p>
    <w:bookmarkEnd w:id="96"/>
    <w:bookmarkStart w:id="98"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97">
        <w:r>
          <w:rPr>
            <w:rStyle w:val="Hyperlink"/>
          </w:rPr>
          <w:t xml:space="preserve">https://doi.org/10.1016/j.artmed.2020.101987</w:t>
        </w:r>
      </w:hyperlink>
    </w:p>
    <w:bookmarkEnd w:id="98"/>
    <w:bookmarkStart w:id="100"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99">
        <w:r>
          <w:rPr>
            <w:rStyle w:val="Hyperlink"/>
          </w:rPr>
          <w:t xml:space="preserve">https://doi.org/10.1080/17441692.2023.2277854</w:t>
        </w:r>
      </w:hyperlink>
    </w:p>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5:1 downsampling of the majority class and the following hyperparameter values: learning rate = .1, tree depth = 5, mtry = 40.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hyperlink" Id="rId79" Target="https://doi.org/10.1001/jamanetworkopen.2020.5852" TargetMode="External" /><Relationship Type="http://schemas.openxmlformats.org/officeDocument/2006/relationships/hyperlink" Id="rId76" Target="https://doi.org/10.1001/jamapsychiatry.2013.4642" TargetMode="External" /><Relationship Type="http://schemas.openxmlformats.org/officeDocument/2006/relationships/hyperlink" Id="rId97" Target="https://doi.org/10.1016/j.artmed.2020.101987" TargetMode="External" /><Relationship Type="http://schemas.openxmlformats.org/officeDocument/2006/relationships/hyperlink" Id="rId74" Target="https://doi.org/10.1016/j.drugalcdep.2006.05.012" TargetMode="External" /><Relationship Type="http://schemas.openxmlformats.org/officeDocument/2006/relationships/hyperlink" Id="rId92" Target="https://doi.org/10.1016/j.drugalcdep.2019.05.017" TargetMode="External" /><Relationship Type="http://schemas.openxmlformats.org/officeDocument/2006/relationships/hyperlink" Id="rId90" Target="https://doi.org/10.1016/j.jsat.2021.108710" TargetMode="External" /><Relationship Type="http://schemas.openxmlformats.org/officeDocument/2006/relationships/hyperlink" Id="rId95" Target="https://doi.org/10.1016/j.landig.2025.100916" TargetMode="External" /><Relationship Type="http://schemas.openxmlformats.org/officeDocument/2006/relationships/hyperlink" Id="rId99" Target="https://doi.org/10.1080/17441692.2023.2277854" TargetMode="External" /><Relationship Type="http://schemas.openxmlformats.org/officeDocument/2006/relationships/hyperlink" Id="rId83"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86" Target="https://doi.org/10.1177/00333549211041554" TargetMode="External" /><Relationship Type="http://schemas.openxmlformats.org/officeDocument/2006/relationships/hyperlink" Id="rId68" Target="https://doi.org/10.21231/GNT1-HW21" TargetMode="External" /><Relationship Type="http://schemas.openxmlformats.org/officeDocument/2006/relationships/hyperlink" Id="rId88"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networkopen.2020.5852" TargetMode="External" /><Relationship Type="http://schemas.openxmlformats.org/officeDocument/2006/relationships/hyperlink" Id="rId76" Target="https://doi.org/10.1001/jamapsychiatry.2013.4642" TargetMode="External" /><Relationship Type="http://schemas.openxmlformats.org/officeDocument/2006/relationships/hyperlink" Id="rId97" Target="https://doi.org/10.1016/j.artmed.2020.101987" TargetMode="External" /><Relationship Type="http://schemas.openxmlformats.org/officeDocument/2006/relationships/hyperlink" Id="rId74" Target="https://doi.org/10.1016/j.drugalcdep.2006.05.012" TargetMode="External" /><Relationship Type="http://schemas.openxmlformats.org/officeDocument/2006/relationships/hyperlink" Id="rId92" Target="https://doi.org/10.1016/j.drugalcdep.2019.05.017" TargetMode="External" /><Relationship Type="http://schemas.openxmlformats.org/officeDocument/2006/relationships/hyperlink" Id="rId90" Target="https://doi.org/10.1016/j.jsat.2021.108710" TargetMode="External" /><Relationship Type="http://schemas.openxmlformats.org/officeDocument/2006/relationships/hyperlink" Id="rId95" Target="https://doi.org/10.1016/j.landig.2025.100916" TargetMode="External" /><Relationship Type="http://schemas.openxmlformats.org/officeDocument/2006/relationships/hyperlink" Id="rId99" Target="https://doi.org/10.1080/17441692.2023.2277854" TargetMode="External" /><Relationship Type="http://schemas.openxmlformats.org/officeDocument/2006/relationships/hyperlink" Id="rId83"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86" Target="https://doi.org/10.1177/00333549211041554" TargetMode="External" /><Relationship Type="http://schemas.openxmlformats.org/officeDocument/2006/relationships/hyperlink" Id="rId68" Target="https://doi.org/10.21231/GNT1-HW21" TargetMode="External" /><Relationship Type="http://schemas.openxmlformats.org/officeDocument/2006/relationships/hyperlink" Id="rId88"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2026-03-05T19:14:35Z</dcterms:created>
  <dcterms:modified xsi:type="dcterms:W3CDTF">2026-03-05T19:14:35Z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2026-03-05</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