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2026-05-30</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186)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20 feature categories (</w:t>
      </w:r>
      <w:hyperlink w:anchor="fig-4">
        <w:r>
          <w:rPr>
            <w:rStyle w:val="Hyperlink"/>
          </w:rPr>
          <w:t xml:space="preserve">Figure 4</w:t>
        </w:r>
      </w:hyperlink>
      <w:r>
        <w:t xml:space="preserve">). We briefly interpret the first four plots.</w:t>
      </w:r>
    </w:p>
    <w:p>
      <w:pPr>
        <w:pStyle w:val="BodyText"/>
      </w:pPr>
      <w:r>
        <w:t xml:space="preserve">The differences in past opioid use feature category showed lowered lapse risk probability for participants who did not lapse on study (i.e., a feature score of 0). However, positive differences in use (i.e., increased use over the past 24 and 168 hour feature scoring epochs compared to baseline use) notably increased lapse risk. Risk was relatively lower for participants who showed negative differences in use (i.e., reduced use over the past 24 and 168 hour feature scoring epochs compared to baseline use) compared to participants with positive differences, but it remained elevated compared to those who did not experience any lapses.</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The differences in stimulant use feature category showed that participants were at highest risk when there were negative differences in use (i.e., decreased recent stimulant use compared to their baseline). Interestingly, there was only a modest increase in lapse risk when positive differences in stimulant use were observed, compared to individuals who did not use any stimulants while on study.</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(z-scored) for the top 20 important features. The blue lines represent the estimated smooth functions from generalized additive models.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2026-06-02T21:53:23Z</dcterms:created>
  <dcterms:modified xsi:type="dcterms:W3CDTF">2026-06-02T21:53:23Z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2026-05-30</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