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2026-03-23</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SUDs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w:t>
      </w:r>
      <w:r>
        <w:rPr>
          <w:b/>
          <w:bCs/>
        </w:rPr>
        <w:t xml:space="preserve">collinsTRIPODAIStatementUpdated2024?</w:t>
      </w:r>
      <w:r>
        <w:t xml:space="preserve">)</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Olfson et al., 2022; Pinedo, 2019;</w:t>
      </w:r>
      <w:r>
        <w:t xml:space="preserve"> </w:t>
      </w:r>
      <w:r>
        <w:rPr>
          <w:b/>
          <w:bCs/>
        </w:rPr>
        <w:t xml:space="preserve">martinNeedReceiptSubstance2022?</w:t>
      </w:r>
      <w:r>
        <w:t xml:space="preserve">;</w:t>
      </w:r>
      <w:r>
        <w:t xml:space="preserve"> </w:t>
      </w:r>
      <w:r>
        <w:rPr>
          <w:b/>
          <w:bCs/>
        </w:rPr>
        <w:t xml:space="preserve">xinExploringIntersectionalityStigma2023?</w:t>
      </w:r>
      <w:r>
        <w:t xml:space="preserve">)</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w:t>
      </w:r>
      <w:r>
        <w:rPr>
          <w:b/>
          <w:bCs/>
        </w:rPr>
        <w:t xml:space="preserve">americanpsychiatricassociationDiagnosticStatisticalManual2022?</w:t>
      </w:r>
      <w:r>
        <w:t xml:space="preserve">)</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w:t>
      </w:r>
      <w:r>
        <w:rPr>
          <w:b/>
          <w:bCs/>
        </w:rPr>
        <w:t xml:space="preserve">vandewieleOverlyOptimisticPrediction2021?</w:t>
      </w:r>
      <w:r>
        <w:t xml:space="preserve">)</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w:t>
      </w:r>
      <w:r>
        <w:rPr>
          <w:b/>
          <w:bCs/>
        </w:rPr>
        <w:t xml:space="preserve">plattProbabilisticOutputsSupport1999?</w:t>
      </w:r>
      <w:r>
        <w:t xml:space="preserve">)</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pStyle w:val="FirstParagraph"/>
      </w:pPr>
      <w:r>
        <w:t xml:space="preserve">Our full model demonstrated that it is possible to predict future next-day lapses back to opioid use with high accuracy using smartphone sensing methods (auROC = 0.94). Our model’s predictions were well-calibrated, meaning that our probabilities closely matched true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substance use studies have collected daily survey data from participants continuously over the course of one year. Survey adherence rates in our sample were comparable to those observed in other clinical populations, suggesting that self‑report surveys are a feasible and scalable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independent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w:t>
      </w:r>
    </w:p>
    <w:p>
      <w:pPr>
        <w:pStyle w:val="BodyText"/>
      </w:pPr>
      <w:r>
        <w:t xml:space="preserve">Research should look into additional risk factors that may better predict risk of lapse in minority populations.</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Top features</w:t>
      </w:r>
    </w:p>
    <w:p>
      <w:pPr>
        <w:numPr>
          <w:ilvl w:val="0"/>
          <w:numId w:val="1003"/>
        </w:numPr>
      </w:pPr>
      <w:r>
        <w:t xml:space="preserve">paid, and withdrawn for adherence, stillk nearly 78% of paprticipnat rmeainf on study for 6 months with this exckludion criteia</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p>
    <w:p>
      <w:pPr>
        <w:pStyle w:val="FirstParagraph"/>
      </w:pPr>
      <w:r>
        <w:t xml:space="preserve">Time series models</w:t>
      </w:r>
      <w:r>
        <w:t xml:space="preserve"> </w:t>
      </w:r>
      <w:r>
        <w:t xml:space="preserve">- Participants provided data for up to 12 months. This extended window of recovery (12 months vs. 3 months) is critical for evaluating the value of an algorithm intended for ongoing continuing care support and understanding how lapse risk evolves as people progress in their recovery (i.e., past 3 months).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are better suited for understanding the temporal dynamics of lapse risk over long periods of recovery.</w:t>
      </w:r>
    </w:p>
    <w:bookmarkEnd w:id="77"/>
    <w:bookmarkStart w:id="125" w:name="references"/>
    <w:p>
      <w:pPr>
        <w:pStyle w:val="Heading1"/>
      </w:pPr>
      <w:r>
        <w:t xml:space="preserve">References</w:t>
      </w:r>
    </w:p>
    <w:bookmarkStart w:id="124" w:name="refs"/>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5"/>
    <w:bookmarkStart w:id="8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6">
        <w:r>
          <w:rPr>
            <w:rStyle w:val="Hyperlink"/>
          </w:rPr>
          <w:t xml:space="preserve">https://doi.org/10.1016/j.drugalcdep.2006.05.012</w:t>
        </w:r>
      </w:hyperlink>
    </w:p>
    <w:bookmarkEnd w:id="87"/>
    <w:bookmarkStart w:id="8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8">
        <w:r>
          <w:rPr>
            <w:rStyle w:val="Hyperlink"/>
          </w:rPr>
          <w:t xml:space="preserve">https://doi.org/10.1001/jamapsychiatry.2013.4642</w:t>
        </w:r>
      </w:hyperlink>
    </w:p>
    <w:bookmarkEnd w:id="89"/>
    <w:bookmarkStart w:id="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0"/>
    <w:bookmarkStart w:id="9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1">
        <w:r>
          <w:rPr>
            <w:rStyle w:val="Hyperlink"/>
          </w:rPr>
          <w:t xml:space="preserve">https://doi.org/10.1016/j.josat.2025.209685</w:t>
        </w:r>
      </w:hyperlink>
    </w:p>
    <w:bookmarkEnd w:id="92"/>
    <w:bookmarkStart w:id="9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3">
        <w:r>
          <w:rPr>
            <w:rStyle w:val="Hyperlink"/>
          </w:rPr>
          <w:t xml:space="preserve">https://doi.org/10.1097/ADM.0000000000000312</w:t>
        </w:r>
      </w:hyperlink>
    </w:p>
    <w:bookmarkEnd w:id="94"/>
    <w:bookmarkStart w:id="9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5">
        <w:r>
          <w:rPr>
            <w:rStyle w:val="Hyperlink"/>
          </w:rPr>
          <w:t xml:space="preserve">https://doi.org/10/gfsjzg</w:t>
        </w:r>
      </w:hyperlink>
    </w:p>
    <w:bookmarkEnd w:id="96"/>
    <w:bookmarkStart w:id="9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7">
        <w:r>
          <w:rPr>
            <w:rStyle w:val="Hyperlink"/>
          </w:rPr>
          <w:t xml:space="preserve">https://doi.org/10.1001/jamanetworkopen.2020.5852</w:t>
        </w:r>
      </w:hyperlink>
    </w:p>
    <w:bookmarkEnd w:id="98"/>
    <w:bookmarkStart w:id="9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9"/>
    <w:bookmarkStart w:id="10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0"/>
    <w:bookmarkStart w:id="10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1">
        <w:r>
          <w:rPr>
            <w:rStyle w:val="Hyperlink"/>
          </w:rPr>
          <w:t xml:space="preserve">https://doi.org/10.1111/jrh.70076</w:t>
        </w:r>
      </w:hyperlink>
    </w:p>
    <w:bookmarkEnd w:id="102"/>
    <w:bookmarkStart w:id="10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3"/>
    <w:bookmarkStart w:id="10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4">
        <w:r>
          <w:rPr>
            <w:rStyle w:val="Hyperlink"/>
          </w:rPr>
          <w:t xml:space="preserve">https://doi.org/10.1038/s41380-018-0094-5</w:t>
        </w:r>
      </w:hyperlink>
    </w:p>
    <w:bookmarkEnd w:id="105"/>
    <w:bookmarkStart w:id="10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6">
        <w:r>
          <w:rPr>
            <w:rStyle w:val="Hyperlink"/>
          </w:rPr>
          <w:t xml:space="preserve">https://doi.org/10.1146/annurev-clinpsy-032816-044949</w:t>
        </w:r>
      </w:hyperlink>
    </w:p>
    <w:bookmarkEnd w:id="107"/>
    <w:bookmarkStart w:id="108"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08"/>
    <w:bookmarkStart w:id="11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9">
        <w:r>
          <w:rPr>
            <w:rStyle w:val="Hyperlink"/>
          </w:rPr>
          <w:t xml:space="preserve">https://doi.org/10.2196/29563</w:t>
        </w:r>
      </w:hyperlink>
    </w:p>
    <w:bookmarkEnd w:id="110"/>
    <w:bookmarkStart w:id="11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1">
        <w:r>
          <w:rPr>
            <w:rStyle w:val="Hyperlink"/>
          </w:rPr>
          <w:t xml:space="preserve">https://doi.org/10.1016/j.jsat.2021.108710</w:t>
        </w:r>
      </w:hyperlink>
    </w:p>
    <w:bookmarkEnd w:id="112"/>
    <w:bookmarkStart w:id="11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3">
        <w:r>
          <w:rPr>
            <w:rStyle w:val="Hyperlink"/>
          </w:rPr>
          <w:t xml:space="preserve">https://doi.org/10.1016/j.drugalcdep.2019.05.017</w:t>
        </w:r>
      </w:hyperlink>
    </w:p>
    <w:bookmarkEnd w:id="114"/>
    <w:bookmarkStart w:id="11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5"/>
    <w:bookmarkStart w:id="11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6">
        <w:r>
          <w:rPr>
            <w:rStyle w:val="Hyperlink"/>
          </w:rPr>
          <w:t xml:space="preserve">https://doi.org/10.1016/j.landig.2025.100916</w:t>
        </w:r>
      </w:hyperlink>
    </w:p>
    <w:bookmarkEnd w:id="117"/>
    <w:bookmarkStart w:id="119"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8">
        <w:r>
          <w:rPr>
            <w:rStyle w:val="Hyperlink"/>
          </w:rPr>
          <w:t xml:space="preserve">https://doi.org/10.1016/j.jsat.2016.12.010</w:t>
        </w:r>
      </w:hyperlink>
    </w:p>
    <w:bookmarkEnd w:id="119"/>
    <w:bookmarkStart w:id="12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0">
        <w:r>
          <w:rPr>
            <w:rStyle w:val="Hyperlink"/>
          </w:rPr>
          <w:t xml:space="preserve">https://doi.org/10.2196/41833</w:t>
        </w:r>
      </w:hyperlink>
    </w:p>
    <w:bookmarkEnd w:id="121"/>
    <w:bookmarkStart w:id="12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2">
        <w:r>
          <w:rPr>
            <w:rStyle w:val="Hyperlink"/>
          </w:rPr>
          <w:t xml:space="preserve">https://doi.org/10.31234/osf.io/cgsf7</w:t>
        </w:r>
      </w:hyperlink>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2026-03-23T15:19:58Z</dcterms:created>
  <dcterms:modified xsi:type="dcterms:W3CDTF">2026-03-23T15:19:58Z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2026-03-23</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