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Claire E. Punturieri</w:t>
      </w:r>
    </w:p>
    <w:p>
      <w:pPr>
        <w:pStyle w:val="Author"/>
      </w:pPr>
      <w:r>
        <w:t xml:space="preserve">John J. Curtin</w:t>
      </w:r>
    </w:p>
    <w:p>
      <w:pPr>
        <w:pStyle w:val="Date"/>
      </w:pPr>
      <w:r>
        <w:t xml:space="preserve">2026-09-18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2667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a">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categories to be raw urge ratings and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and differences in time spent in helpful and pleasant locations.</w:t>
      </w:r>
    </w:p>
    <w:tbl>
      <w:tblPr>
        <w:tblStyle w:val="Table"/>
        <w:tblW w:type="pct" w:w="5000"/>
        <w:tblLayout w:type="fixed"/>
        <w:tblLook w:firstRow="0" w:lastRow="0" w:firstColumn="0" w:lastColumn="0" w:noHBand="0" w:noVBand="0" w:val="0000"/>
      </w:tblPr>
      <w:tblGrid>
        <w:gridCol w:w="7920"/>
      </w:tblGrid>
      <w:tr>
        <w:tc>
          <w:tcPr/>
          <w:bookmarkStart w:id="60" w:name="fig-3a"/>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a-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a">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pleasant, unpleasant, or helpful locations), while higher values represent higher levels (e.g., higher urge intensity, higher abstinence confidence, lower abstinent motivation, and greater time spent in pleasant, unpleasant, or helpful locations). For difference features, values are interpreted relative to the individual’s baseline. Negative values indicate that the score is below the individual’s typical level (e.g., less substance use, less time in pleasant, unpleasant, or helpful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pleasant, unpleasant, or helpful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a"/>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a-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time spent in pleasant locations and location variance).</w:t>
      </w:r>
    </w:p>
    <w:p>
      <w:pPr>
        <w:pStyle w:val="BodyText"/>
      </w:pPr>
      <w:r>
        <w:t xml:space="preserve">Across both feature importance approaches, geolocation features emerged among the top subset of features. Specifically, time spent in pleasant, unpleasant, helpful, or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a" TargetMode="External" /><Relationship Type="http://schemas.openxmlformats.org/officeDocument/2006/relationships/hyperlink" Id="rId66" Target="https://jjcurtin.github.io/study_risk2/notebooks\mak_figures-preview.html#cell-fig-4a"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a" TargetMode="External" /><Relationship Type="http://schemas.openxmlformats.org/officeDocument/2006/relationships/hyperlink" Id="rId66" Target="https://jjcurtin.github.io/study_risk2/notebooks\mak_figures-preview.html#cell-fig-4a"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Claire E. Punturieri; John J. Curtin</dc:creator>
  <cp:keywords>Substance use disorders, Precision mental health</cp:keywords>
  <dcterms:created xsi:type="dcterms:W3CDTF">2026-09-18T23:19:14Z</dcterms:created>
  <dcterms:modified xsi:type="dcterms:W3CDTF">2026-09-18T23:19:14Z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