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2025-12-30</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9" w:name="methods"/>
    <w:p>
      <w:pPr>
        <w:pStyle w:val="Heading1"/>
      </w:pPr>
      <w:r>
        <w:t xml:space="preserve">Methods</w:t>
      </w:r>
    </w:p>
    <w:bookmarkStart w:id="25"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For transparency, we documented the changes made to the registered report below:</w:t>
      </w:r>
    </w:p>
    <w:bookmarkStart w:id="23" w:name="sensing-data-streams"/>
    <w:p>
      <w:pPr>
        <w:pStyle w:val="Heading3"/>
      </w:pPr>
      <w:r>
        <w:t xml:space="preserve">Sensing Data Streams</w:t>
      </w:r>
    </w:p>
    <w:p>
      <w:pPr>
        <w:pStyle w:val="FirstParagraph"/>
      </w:pPr>
      <w:r>
        <w:t xml:space="preserve">Our candidate models included features derived from a subset of intake self-report measures, daily EMA, and geolocation sensing data (see Measures section). Consequently, we excluded cellular communication data, daily video check-ins, app usage data, and certain self-report measures. These decisions were informed by (1) our group’s personal sensing work with alcohol use disorder, (2) technological constraints, and (3) the desire to balance feature diversity for capturing lapse complexity and minimizing participant burden and computational cost.</w:t>
      </w:r>
    </w:p>
    <w:p>
      <w:pPr>
        <w:numPr>
          <w:ilvl w:val="0"/>
          <w:numId w:val="1001"/>
        </w:numPr>
      </w:pPr>
      <w:r>
        <w:t xml:space="preserve">In our alcohol use disorder research, EMA and geolocation sensing have shown moderate to excellent predictive signal (aurocs .72-.91</w:t>
      </w:r>
      <w:r>
        <w:t xml:space="preserve">)</w:t>
      </w:r>
      <w:r>
        <w:t xml:space="preserve"> </w:t>
      </w:r>
      <w:r>
        <w:t xml:space="preserve">(Wyant et al., 2024; Wyant et al., under review,</w:t>
      </w:r>
      <w:r>
        <w:t xml:space="preserve"> </w:t>
      </w:r>
      <w:r>
        <w:t xml:space="preserve">)</w:t>
      </w:r>
      <w:r>
        <w:t xml:space="preserve">. Cellular communication sensing, however, has fallen short of these thresholds</w:t>
      </w:r>
      <w:r>
        <w:t xml:space="preserve">. Moreover, Apple places strict restrictions on app access to communications, meaning inclusion of these features would result in a model that could only be deployed within an Android operating system.</w:t>
      </w:r>
    </w:p>
    <w:p>
      <w:pPr>
        <w:numPr>
          <w:ilvl w:val="0"/>
          <w:numId w:val="1001"/>
        </w:numPr>
      </w:pPr>
      <w:r>
        <w:t xml:space="preserve">We discontinued collecting daily video check-ins about 6 months into the 2.5 year data collection due to technical issues and App usage data (beyond the required study tasks) were generally sparse and inconsistent across participants.</w:t>
      </w:r>
    </w:p>
    <w:p>
      <w:pPr>
        <w:numPr>
          <w:ilvl w:val="0"/>
          <w:numId w:val="1001"/>
        </w:numPr>
      </w:pPr>
      <w:r>
        <w:t xml:space="preserve">Self-report measures can substantially increase data collection burden and expand the feature space. Therefore, we opted to not include all measures. Monthly surveys were lengthy (20–30 minutes) and, based on our work with alcohol use disorder, added no incremental predictive value beyond the dynamic sensing data. However, individual differences in severity of use and stability of recovery at the time of intake have demonstrated some predictive signal. Key demographic variables known to influence OUD treatment access and clinical outcomes are also important to reduce model bias by preventing these effects being encoded into the model indirectly by proxy variables. See Measures section for a comprehensive list of all retained self-report items.</w:t>
      </w:r>
    </w:p>
    <w:bookmarkEnd w:id="23"/>
    <w:bookmarkStart w:id="24" w:name="resampling-method"/>
    <w:p>
      <w:pPr>
        <w:pStyle w:val="Heading3"/>
      </w:pPr>
      <w:r>
        <w:t xml:space="preserve">Resampling Method</w:t>
      </w:r>
    </w:p>
    <w:p>
      <w:pPr>
        <w:pStyle w:val="FirstParagraph"/>
      </w:pPr>
      <w:r>
        <w:t xml:space="preserve">Our initial protocol proposed repeated cross-validation for model selection and a single held-out test set for evaluation. Although we nearly reached our recruitment goal (N = 451/480), the number of participants with usable data was much lower (N = 300). To maximize data use, we eliminated the held-out test set and increased repetitions in our cross-validation to mitigate optimization bias and provide generalizable performance estimates.</w:t>
      </w:r>
    </w:p>
    <w:bookmarkEnd w:id="24"/>
    <w:bookmarkEnd w:id="25"/>
    <w:bookmarkStart w:id="26"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2"/>
        </w:numPr>
      </w:pPr>
      <w:r>
        <w:t xml:space="preserve">were age 18 or older,</w:t>
      </w:r>
    </w:p>
    <w:p>
      <w:pPr>
        <w:pStyle w:val="Compact"/>
        <w:numPr>
          <w:ilvl w:val="0"/>
          <w:numId w:val="1002"/>
        </w:numPr>
      </w:pPr>
      <w:r>
        <w:t xml:space="preserve">could read, write, and speak in English,</w:t>
      </w:r>
    </w:p>
    <w:p>
      <w:pPr>
        <w:pStyle w:val="Compact"/>
        <w:numPr>
          <w:ilvl w:val="0"/>
          <w:numId w:val="1002"/>
        </w:numPr>
      </w:pPr>
      <w:r>
        <w:t xml:space="preserve">were enrolled in and adherent with an MOUD program for at least 1 month but no longer than 12 months, and</w:t>
      </w:r>
    </w:p>
    <w:p>
      <w:pPr>
        <w:pStyle w:val="Compact"/>
        <w:numPr>
          <w:ilvl w:val="0"/>
          <w:numId w:val="1002"/>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EMAs, monthly surveys and sharing sensing data) and were paid $50 per month to offset the cost of maintaining a cellphone plan.</w:t>
      </w:r>
    </w:p>
    <w:bookmarkEnd w:id="26"/>
    <w:bookmarkStart w:id="2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then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 Enrolled participants met with study staff 1 week later to troubleshoot technical issues. At the end of the study enrollment period participants met briefly with study staff for a debriefing session. While on study, participants were expected to complete daily EMA,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7"/>
    <w:bookmarkStart w:id="31" w:name="measures"/>
    <w:p>
      <w:pPr>
        <w:pStyle w:val="Heading2"/>
      </w:pPr>
      <w:r>
        <w:t xml:space="preserve">Measures</w:t>
      </w:r>
    </w:p>
    <w:bookmarkStart w:id="28" w:name="individual-differences"/>
    <w:p>
      <w:pPr>
        <w:pStyle w:val="Heading3"/>
      </w:pPr>
      <w:r>
        <w:t xml:space="preserve">Individual Differences</w:t>
      </w:r>
    </w:p>
    <w:p>
      <w:pPr>
        <w:pStyle w:val="FirstParagraph"/>
      </w:pPr>
      <w:r>
        <w:t xml:space="preserve">We collected self-report information about demographics (age, gender, orientation, race, ethnicity, education, and income). Zip codes from participants’ reported home addresses were matched to Rural-Urban Commuting Area (RUCA) codes to identify whether individuals resided in rural or urban areas</w:t>
      </w:r>
      <w:r>
        <w:t xml:space="preserve"> </w:t>
      </w:r>
      <w:r>
        <w:t xml:space="preserve">. 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w:t>
      </w:r>
    </w:p>
    <w:p>
      <w:pPr>
        <w:pStyle w:val="BodyText"/>
      </w:pPr>
      <w:r>
        <w:t xml:space="preserve">We also collected information about OUD history to characterize OUD severity and recovery stability, including self-reported Diagnostic and Statistical Manual of Mental Disorders, Fifth Edition OUD symptoms</w:t>
      </w:r>
      <w:r>
        <w:t xml:space="preserve"> </w:t>
      </w:r>
      <w:r>
        <w:t xml:space="preserve">(American Psychiatric Association, 2022)</w:t>
      </w:r>
      <w:r>
        <w:t xml:space="preserve">, recovery satisfaction, motivation, and confidence, whether they intended to avoid using other drugs, perceived efficacy and likelihood of adhering to their MOUD medication</w:t>
      </w:r>
      <w:r>
        <w:t xml:space="preserve"> </w:t>
      </w:r>
      <w:r>
        <w:t xml:space="preserve">(Morisky et al., 1986)</w:t>
      </w:r>
      <w:r>
        <w:t xml:space="preserve">, past month opioid use, past month residential treatment for OUD, past month receipt of psychiatric medication, frequency of counseling sessions and self-help meetings in the past month,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8"/>
    <w:bookmarkStart w:id="29" w:name="ecological-momentary-assessment"/>
    <w:p>
      <w:pPr>
        <w:pStyle w:val="Heading3"/>
      </w:pPr>
      <w:r>
        <w:t xml:space="preserve">Ecological Momentary Assessment</w:t>
      </w:r>
    </w:p>
    <w:p>
      <w:pPr>
        <w:pStyle w:val="FirstParagraph"/>
      </w:pPr>
      <w:r>
        <w:t xml:space="preserve">Participants completed a brief (1-2 minute) EMA each day on study through the STAR app. The EMA became available in the app at 5:00 AM CST each morning and participants had 24 hours to complete it. Participants could enable push notifications for reminder prompts to complete the assessment. Each EMA had 16-items that asked participants to report the date and time of any recent opioid use for nonmedical reasons not yet reported. These reports served as the primary outcome for the lapse risk prediction model. Participants also reported any other drugs that they had used in the past 24 hours by selecting all that apply from a list of substance categories. Other items asked about mood, pain, sleep quality, urges to use opioids, risky situations, stressful and pleasant events, and MOUD adherence in the past 24 hours. The EMA concluded with 2 future-facing items that asked about participants’ motivation and confidence to continue to avoid using opioids for nonmedical reasons over the next week. The full EMA questionnaire is available in the supplement.</w:t>
      </w:r>
    </w:p>
    <w:bookmarkEnd w:id="29"/>
    <w:bookmarkStart w:id="3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contexts.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30"/>
    <w:bookmarkEnd w:id="31"/>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Features were engineered from three sources:</w:t>
      </w:r>
    </w:p>
    <w:p>
      <w:pPr>
        <w:numPr>
          <w:ilvl w:val="0"/>
          <w:numId w:val="1003"/>
        </w:numPr>
      </w:pPr>
      <w:r>
        <w:rPr>
          <w:i/>
          <w:iCs/>
        </w:rPr>
        <w:t xml:space="preserve">The prediction window.</w:t>
      </w:r>
      <w:r>
        <w:t xml:space="preserve"> </w:t>
      </w:r>
      <w:r>
        <w:t xml:space="preserve">We created dummy-coded features for day of the week for the start of the prediction window.</w:t>
      </w:r>
    </w:p>
    <w:p>
      <w:pPr>
        <w:numPr>
          <w:ilvl w:val="0"/>
          <w:numId w:val="1003"/>
        </w:numPr>
      </w:pPr>
      <w:r>
        <w:rPr>
          <w:i/>
          <w:iCs/>
        </w:rPr>
        <w:t xml:space="preserve">Static individual differences in demographic and OUD characteristics.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dummy coded features for gender (male vs. not male) and race and ethnicity (non-Hispanic White vs. Hispanic and/or not White). For OUD characteristics we created ordinal features for recovery satisfaction, recovery motivation, recovery confidence, MOUD side effects experienced, perceived efficacy of MOUD medication, and likelihood of continuing MOUD (ranges 0-4), ordinal features for frequency of counseling sessions and self-help meetings attended in the past month (ranges 0-3), a quantitative feature for number of self-reported DSM-5 OUD symptoms, an ordinal feature for lifetime history of overdose (range 0-4), and dummy coded features for past month opioid use (yes vs. no), past month detox or residential treatment (yes vs. no), past month psychiatric medication (yes vs. no), preferred opioid (fentanyl vs. heroin vs. prescription opioid not for opioid treatment vs. medication for opioid treatment), and preferred route of administration (injection vs. oral vs. smoke vs. sniff/snort vs. other).</w:t>
      </w:r>
    </w:p>
    <w:p>
      <w:pPr>
        <w:numPr>
          <w:ilvl w:val="0"/>
          <w:numId w:val="1003"/>
        </w:numPr>
      </w:pPr>
      <w:r>
        <w:rPr>
          <w:i/>
          <w:iCs/>
        </w:rPr>
        <w:t xml:space="preserve">Dynamic EMA and geolocation sensing data.</w:t>
      </w:r>
      <w:r>
        <w:t xml:space="preserve"> </w:t>
      </w:r>
      <w:r>
        <w:t xml:space="preserve">For both sets of dynamic features we calculated two types of features: raw and difference features. Raw features represent the feature value calculated within a scoring epoch (e.g., the maximum urge rating reported on EMA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EMAs subtracted from the maximum urge rating in the preceding 48 hours).</w:t>
      </w:r>
    </w:p>
    <w:p>
      <w:pPr>
        <w:numPr>
          <w:ilvl w:val="0"/>
          <w:numId w:val="1000"/>
        </w:numPr>
      </w:pPr>
      <w:r>
        <w:t xml:space="preserve">We used three scoring epochs (48, 72, and 168 hours before the start of the prediction window) to create features from the daily EMA. We calculated raw and difference features for min, max, median, and most recent responses for the 13 5-point likert scale items (items 4-16; pain, urge, risky situation, stressful event, pleasant event, sleep, depressed, angry, anxious, relaxed, happy, abstinence motivation, and abstinence confidence) across all EMAs in each epoch for a given participant. We also calculated raw and difference rate features based on counts of opioid lapses, other drug use, missed MOUD doses (items 1-3), and completed EMAs across all EMAs in each scoring epoch.</w:t>
      </w:r>
    </w:p>
    <w:p>
      <w:pPr>
        <w:numPr>
          <w:ilvl w:val="0"/>
          <w:numId w:val="1000"/>
        </w:numPr>
      </w:pPr>
      <w:r>
        <w:t xml:space="preserve">We used six scoring epochs (6, 12, 24, 48, 72, and 168 hours before the start of the prediction window) to create features from the densely sampled geolocation data. Raw geolocation points were cross-checked against known locations with reported subjective context. We used a threshold of 50 meters for matching context to geolocation points. We calulated raw and difference features for sum duration of time spent in transit</w:t>
      </w:r>
      <w:r>
        <w:t xml:space="preserve"> </w:t>
      </w:r>
      <w:r>
        <w:t xml:space="preserve">and time out in the evenings (i.e., not at their home between the hours of</w:t>
      </w:r>
      <w:r>
        <w:t xml:space="preserve"> </w:t>
      </w:r>
      <w:r>
        <w:t xml:space="preserve">). We calulated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w:t>
      </w:r>
      <w:r>
        <w:t xml:space="preserve">.</w:t>
      </w:r>
    </w:p>
    <w:p>
      <w:pPr>
        <w:pStyle w:val="FirstParagraph"/>
      </w:pPr>
      <w:r>
        <w:t xml:space="preserve">All features (sets 1-3 above) were included in our main model. We also fit a baseline model that excluded the dynamic EMA and geolocation features (i.e., only using feature sets 1 and 2 above) to assess the incremental predictive value of these sensing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2"/>
    <w:bookmarkStart w:id="3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match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EMA).</w:t>
      </w:r>
    </w:p>
    <w:p>
      <w:pPr>
        <w:pStyle w:val="BodyText"/>
      </w:pPr>
      <w:r>
        <w:t xml:space="preserve">Participants reported lapses on the first EMA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responses were used to label each prediction window as lapse or no lapse. For example, if a participant reported a lapse on December 12 from 12:00am-5:59am the prediction window spanning 6:00am on December 11 through 5:59am on December 12 was labeled as a lapse.</w:t>
      </w:r>
    </w:p>
    <w:bookmarkEnd w:id="33"/>
    <w:bookmarkStart w:id="34" w:name="model-selection"/>
    <w:p>
      <w:pPr>
        <w:pStyle w:val="Heading3"/>
      </w:pPr>
      <w:r>
        <w:t xml:space="preserve">Model Selection</w:t>
      </w:r>
    </w:p>
    <w:p>
      <w:pPr>
        <w:pStyle w:val="FirstParagraph"/>
      </w:pPr>
      <w:r>
        <w:t xml:space="preserve">Our performance metric for model selection and evaluation was area under the Receiver Operating Characteristic curve (auROC).</w:t>
      </w:r>
      <w:r>
        <w:t xml:space="preserve"> </w:t>
      </w:r>
      <w:r>
        <w:t xml:space="preserve">.</w:t>
      </w:r>
    </w:p>
    <w:p>
      <w:pPr>
        <w:pStyle w:val="BodyText"/>
      </w:pPr>
      <w:r>
        <w:t xml:space="preserve">The best model configuration was selected using 6 repeats of participant-grouped 5-fold cross-validation.</w:t>
      </w:r>
      <w:r>
        <w:t xml:space="preserve"> </w:t>
      </w:r>
      <w:r>
        <w:t xml:space="preserve">Folds were stratified by a between-subject measure of our outcome (no lapse vs. any lapse).</w:t>
      </w:r>
    </w:p>
    <w:p>
      <w:pPr>
        <w:pStyle w:val="BodyText"/>
      </w:pPr>
      <w:r>
        <w:t xml:space="preserve">Model configurations differed on:</w:t>
      </w:r>
    </w:p>
    <w:p>
      <w:pPr>
        <w:numPr>
          <w:ilvl w:val="0"/>
          <w:numId w:val="1004"/>
        </w:numPr>
      </w:pPr>
      <w:r>
        <w:t xml:space="preserve">Statistical algorithm (and hyperparameter tuning)</w:t>
      </w:r>
    </w:p>
    <w:p>
      <w:pPr>
        <w:numPr>
          <w:ilvl w:val="0"/>
          <w:numId w:val="1004"/>
        </w:numPr>
      </w:pPr>
      <w:r>
        <w:t xml:space="preserve">Resampling of minority outcome. All resampling was exclusively done with only held-in training data to prevent biasing performance estimates</w:t>
      </w:r>
      <w:r>
        <w:t xml:space="preserve"> </w:t>
      </w:r>
      <w:r>
        <w:t xml:space="preserve">(Vandewiele et al., 2021)</w:t>
      </w:r>
      <w:r>
        <w:t xml:space="preserve">.</w:t>
      </w:r>
    </w:p>
    <w:p>
      <w:pPr>
        <w:pStyle w:val="FirstParagraph"/>
      </w:pPr>
      <w:r>
        <w:t xml:space="preserve">We repeated the above process to select a best baseline model that was limited to features derived from individual differences in demographics and OUD characteristics.</w:t>
      </w:r>
    </w:p>
    <w:bookmarkEnd w:id="34"/>
    <w:bookmarkStart w:id="35"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auROC for the 30 held-out test sets for our best performing model. We used weakly informative, data-dependent priors to regularize and reduce overfitting. Random intercepts were included for repeat and fold (nested within repeat).</w:t>
      </w:r>
    </w:p>
    <w:p>
      <w:pPr>
        <w:pStyle w:val="Compact"/>
        <w:numPr>
          <w:ilvl w:val="0"/>
          <w:numId w:val="1005"/>
        </w:numPr>
      </w:pPr>
      <w:r>
        <w:t xml:space="preserve">Model contrast</w:t>
      </w:r>
    </w:p>
    <w:p>
      <w:pPr>
        <w:pStyle w:val="FirstParagraph"/>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(rural vs. urban), and education (high school or less vs. some college). We conducted Bayesian group comparisons to assess the likelihood that each model performs differently by group.</w:t>
      </w:r>
    </w:p>
    <w:p>
      <w:pPr>
        <w:pStyle w:val="Compact"/>
        <w:numPr>
          <w:ilvl w:val="0"/>
          <w:numId w:val="1006"/>
        </w:numPr>
      </w:pPr>
      <w:r>
        <w:t xml:space="preserve">Gender, race/ethnicity, education, income, and geographic location are used for our fariness subgroup analyses. As defined above we defined urban as RUCA code of 1 and rural as RUCA codes 2-10. Given that there is not a clear consensus on delineating urban vs. rural, however, we also report a fairness model comparison for urban as RUCA codes 1-2 and urban as RUCA coddes 3-10 in the supplement.</w:t>
      </w:r>
    </w:p>
    <w:bookmarkEnd w:id="35"/>
    <w:bookmarkStart w:id="36"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 We provide calibration plots for the raw and calibrated probabilities in the manuscript and histograms of predicted probabilities by true lapse outcome in the supplement.</w:t>
      </w:r>
    </w:p>
    <w:bookmarkEnd w:id="36"/>
    <w:bookmarkStart w:id="37" w:name="feature-importance"/>
    <w:p>
      <w:pPr>
        <w:pStyle w:val="Heading3"/>
      </w:pPr>
      <w:r>
        <w:t xml:space="preserve">Feature Importance</w:t>
      </w:r>
    </w:p>
    <w:bookmarkEnd w:id="37"/>
    <w:bookmarkEnd w:id="38"/>
    <w:bookmarkEnd w:id="39"/>
    <w:bookmarkStart w:id="66" w:name="results"/>
    <w:p>
      <w:pPr>
        <w:pStyle w:val="Heading1"/>
      </w:pPr>
      <w:r>
        <w:t xml:space="preserve">Results</w:t>
      </w:r>
    </w:p>
    <w:bookmarkStart w:id="43"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0"/>
      </w:r>
      <w:r>
        <w:t xml:space="preserve">, 13 participants were excluded due to insufficient context data for geolocation points</w:t>
      </w:r>
      <w:r>
        <w:rPr>
          <w:rStyle w:val="FootnoteReference"/>
        </w:rPr>
        <w:footnoteReference w:id="41"/>
      </w:r>
      <w:r>
        <w:t xml:space="preserve">, 1 participant was excluded due to geolocation data indicating they were not residing in the United States, 10 participants were excluded due to evidence of careless responding on EMAs. Our final analysis sample consisted of 300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36.0</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35.3</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20.0</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52.7</w:t>
                  </w:r>
                </w:p>
              </w:tc>
            </w:tr>
            <w:tr>
              <w:tc>
                <w:tcPr/>
                <w:p>
                  <w:pPr>
                    <w:pStyle w:val="Compact"/>
                    <w:jc w:val="left"/>
                    <w:jc w:val="center"/>
                  </w:pPr>
                  <w:r>
                    <w:t xml:space="preserve">Woman</w:t>
                  </w:r>
                </w:p>
              </w:tc>
              <w:tc>
                <w:tcPr/>
                <w:p>
                  <w:pPr>
                    <w:pStyle w:val="Compact"/>
                    <w:jc w:val="right"/>
                    <w:jc w:val="center"/>
                  </w:pPr>
                  <w:r>
                    <w:t xml:space="preserve">135</w:t>
                  </w:r>
                </w:p>
              </w:tc>
              <w:tc>
                <w:tcPr/>
                <w:p>
                  <w:pPr>
                    <w:pStyle w:val="Compact"/>
                    <w:jc w:val="right"/>
                    <w:jc w:val="center"/>
                  </w:pPr>
                  <w:r>
                    <w:t xml:space="preserve">45.0</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79.0</w:t>
                  </w:r>
                </w:p>
              </w:tc>
            </w:tr>
            <w:tr>
              <w:tc>
                <w:tcPr/>
                <w:p>
                  <w:pPr>
                    <w:pStyle w:val="Compact"/>
                    <w:jc w:val="left"/>
                    <w:jc w:val="center"/>
                  </w:pPr>
                  <w:r>
                    <w:t xml:space="preserve">Hispanic, Latino, or Spanish origin</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small town/rural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urban/suburban</w:t>
                  </w:r>
                </w:p>
              </w:tc>
              <w:tc>
                <w:tcPr/>
                <w:p>
                  <w:pPr>
                    <w:pStyle w:val="Compact"/>
                    <w:jc w:val="right"/>
                    <w:jc w:val="center"/>
                  </w:pPr>
                  <w:r>
                    <w:t xml:space="preserve">274</w:t>
                  </w:r>
                </w:p>
              </w:tc>
              <w:tc>
                <w:tcPr/>
                <w:p>
                  <w:pPr>
                    <w:pStyle w:val="Compact"/>
                    <w:jc w:val="right"/>
                    <w:jc w:val="center"/>
                  </w:pPr>
                  <w:r>
                    <w:t xml:space="preserve">91.3</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31.3</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43.7</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67</w:t>
                  </w:r>
                </w:p>
              </w:tc>
              <w:tc>
                <w:tcPr/>
                <w:p>
                  <w:pPr>
                    <w:pStyle w:val="Compact"/>
                    <w:jc w:val="right"/>
                    <w:jc w:val="center"/>
                  </w:pPr>
                  <w:r>
                    <w:t xml:space="preserve">22.3</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18.3</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36.7</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56.0</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287</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66.7</w:t>
                  </w:r>
                </w:p>
              </w:tc>
            </w:tr>
            <w:tr>
              <w:tc>
                <w:tcPr/>
                <w:p>
                  <w:pPr>
                    <w:pStyle w:val="Compact"/>
                    <w:jc w:val="left"/>
                    <w:jc w:val="center"/>
                  </w:pPr>
                  <w:r>
                    <w:t xml:space="preserve">Yes</w:t>
                  </w:r>
                </w:p>
              </w:tc>
              <w:tc>
                <w:tcPr/>
                <w:p>
                  <w:pPr>
                    <w:pStyle w:val="Compact"/>
                    <w:jc w:val="right"/>
                    <w:jc w:val="center"/>
                  </w:pPr>
                  <w:r>
                    <w:t xml:space="preserve">98</w:t>
                  </w:r>
                </w:p>
              </w:tc>
              <w:tc>
                <w:tcPr/>
                <w:p>
                  <w:pPr>
                    <w:pStyle w:val="Compact"/>
                    <w:jc w:val="right"/>
                    <w:jc w:val="center"/>
                  </w:pPr>
                  <w:r>
                    <w:t xml:space="preserve">32.7</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194</w:t>
                  </w:r>
                </w:p>
              </w:tc>
              <w:tc>
                <w:tcPr/>
                <w:p>
                  <w:pPr>
                    <w:pStyle w:val="Compact"/>
                    <w:jc w:val="right"/>
                    <w:jc w:val="center"/>
                  </w:pPr>
                  <w:r>
                    <w:t xml:space="preserve">64.7</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35.0</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153</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48.7</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40.0</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31.7</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34.3</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18.0</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27.7</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41.3</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72</w:t>
                  </w:r>
                </w:p>
              </w:tc>
              <w:tc>
                <w:tcPr/>
                <w:p>
                  <w:pPr>
                    <w:pStyle w:val="Compact"/>
                    <w:jc w:val="right"/>
                    <w:jc w:val="center"/>
                  </w:pPr>
                  <w:r>
                    <w:t xml:space="preserve">24.0</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300</w:t>
                  </w:r>
                </w:p>
              </w:tc>
              <w:tc>
                <w:tcPr/>
                <w:p>
                  <w:pPr>
                    <w:pStyle w:val="Compact"/>
                  </w:pPr>
                </w:p>
              </w:tc>
              <w:tc>
                <w:tcPr/>
                <w:p>
                  <w:pPr>
                    <w:pStyle w:val="Compact"/>
                  </w:pPr>
                </w:p>
              </w:tc>
            </w:tr>
          </w:tbl>
          <w:bookmarkEnd w:id="42"/>
          <w:p/>
        </w:tc>
      </w:tr>
    </w:tbl>
    <w:bookmarkEnd w:id="43"/>
    <w:bookmarkStart w:id="44" w:name="adherence-features-and-labels"/>
    <w:p>
      <w:pPr>
        <w:pStyle w:val="Heading2"/>
      </w:pPr>
      <w:r>
        <w:t xml:space="preserve">Adherence, Features, and Labels</w:t>
      </w:r>
    </w:p>
    <w:p>
      <w:pPr>
        <w:pStyle w:val="FirstParagraph"/>
      </w:pPr>
      <w:r>
        <w:t xml:space="preserve">Mean days on study across participants was 298 days (range 32-395 days). 83% of participants (250/300) remained on study for at least six months. EMA adherence was high. On average participants completed 73% of the daily EMA prompts (range 24-100%). Participants provided, on average, 313 daily geolocation points (range 20-825).</w:t>
      </w:r>
    </w:p>
    <w:p>
      <w:pPr>
        <w:pStyle w:val="BodyText"/>
      </w:pPr>
      <w:r>
        <w:t xml:space="preserve">Our final feature set consisted of 640 features</w:t>
      </w:r>
      <w:r>
        <w:t xml:space="preserve">. The proportion of missing values across features was low (mean=.03, range = 0-.12).</w:t>
      </w:r>
      <w:r>
        <w:t xml:space="preserve"> </w:t>
      </w:r>
      <w:r>
        <w:t xml:space="preserve">Across participants we generated a total of 88,973 day-level labels.</w:t>
      </w:r>
      <w:r>
        <w:t xml:space="preserve"> </w:t>
      </w:r>
      <w:r>
        <w:t xml:space="preserve">Forty percent of participants (119/300) reported an opioid lapse while on study (mean=5.73, range 0-117). This resulted in 1.93% of the labels positive for lapse (1,720/88,973 labels).</w:t>
      </w:r>
    </w:p>
    <w:bookmarkEnd w:id="44"/>
    <w:bookmarkStart w:id="50" w:name="performance"/>
    <w:p>
      <w:pPr>
        <w:pStyle w:val="Heading2"/>
      </w:pPr>
      <w:r>
        <w:t xml:space="preserve">Performance</w:t>
      </w:r>
    </w:p>
    <w:p>
      <w:pPr>
        <w:pStyle w:val="FirstParagraph"/>
      </w:pPr>
      <w:r>
        <w:t xml:space="preserve">The best model configuration used an xgboost statistical algorithm and up-sampled the minority class</w:t>
      </w:r>
      <w:r>
        <w:t xml:space="preserve">.</w:t>
      </w:r>
      <w:r>
        <w:rPr>
          <w:rStyle w:val="FootnoteReference"/>
        </w:rPr>
        <w:footnoteReference w:id="45"/>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information gathered at intake (i.e., individual differences in demographic and OUD characteristics) to evaluate the incremental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9" w:name="fig-1"/>
          <w:p>
            <w:pPr>
              <w:pStyle w:val="Compact"/>
              <w:jc w:val="center"/>
            </w:pPr>
            <w:r>
              <w:drawing>
                <wp:inline>
                  <wp:extent cx="5334000" cy="3809999"/>
                  <wp:effectExtent b="0" l="0" r="0" t="0"/>
                  <wp:docPr descr="" title="" id="47" name="Picture"/>
                  <a:graphic>
                    <a:graphicData uri="http://schemas.openxmlformats.org/drawingml/2006/picture">
                      <pic:pic>
                        <pic:nvPicPr>
                          <pic:cNvPr descr="index_files/figure-docx/notebooks-mak_figures-fig-1-output-1.png" id="48" name="Picture"/>
                          <pic:cNvPicPr>
                            <a:picLocks noChangeArrowheads="1" noChangeAspect="1"/>
                          </pic:cNvPicPr>
                        </pic:nvPicPr>
                        <pic:blipFill>
                          <a:blip r:embed="rId46"/>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9"/>
        </w:tc>
      </w:tr>
    </w:tbl>
    <w:bookmarkEnd w:id="50"/>
    <w:bookmarkStart w:id="55" w:name="calibration-1"/>
    <w:p>
      <w:pPr>
        <w:pStyle w:val="Heading2"/>
      </w:pPr>
      <w:r>
        <w:t xml:space="preserve">Calibration</w:t>
      </w:r>
    </w:p>
    <w:p>
      <w:pPr>
        <w:pStyle w:val="FirstParagraph"/>
      </w:pPr>
      <w:r>
        <w:t xml:space="preserve">Our raw model predicted probabilities were generally well-calibrated (brier score = 0.015) indicating that predicted probabilities generally matched the true observed lapse rates. We attempted to improve calibration with Platt scaling but results were comparable (brier score = 0.015). Calibration plots for the raw uncalibrated probabilities and calibrated probabilities with Platt scaline are presented in</w:t>
      </w:r>
      <w:r>
        <w:t xml:space="preserve"> </w:t>
      </w:r>
      <w:hyperlink w:anchor="fig-2">
        <w:r>
          <w:rPr>
            <w:rStyle w:val="Hyperlink"/>
          </w:rPr>
          <w:t xml:space="preserve">Figure 2</w:t>
        </w:r>
      </w:hyperlink>
      <w:r>
        <w:t xml:space="preserve">. Histograms of predicted probabilities by true lapse outcome are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3809999"/>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54"/>
        </w:tc>
      </w:tr>
    </w:tbl>
    <w:bookmarkEnd w:id="55"/>
    <w:bookmarkStart w:id="65"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bookmarkStart w:id="59" w:name="fig-3"/>
            <w:r>
              <w:drawing>
                <wp:inline>
                  <wp:extent cx="5334000" cy="3333750"/>
                  <wp:effectExtent b="0" l="0" r="0" t="0"/>
                  <wp:docPr descr="" title="" id="57" name="Picture"/>
                  <a:graphic>
                    <a:graphicData uri="http://schemas.openxmlformats.org/drawingml/2006/picture">
                      <pic:pic>
                        <pic:nvPicPr>
                          <pic:cNvPr descr="index_files/figure-docx/notebooks-mak_figures-fig-3-output-1.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Figure 3</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4"/>
          <w:p>
            <w:pPr>
              <w:pStyle w:val="Compact"/>
              <w:jc w:val="center"/>
            </w:pPr>
            <w:r>
              <w:drawing>
                <wp:inline>
                  <wp:extent cx="5334000" cy="7467600"/>
                  <wp:effectExtent b="0" l="0" r="0" t="0"/>
                  <wp:docPr descr="" title="" id="62" name="Picture"/>
                  <a:graphic>
                    <a:graphicData uri="http://schemas.openxmlformats.org/drawingml/2006/picture">
                      <pic:pic>
                        <pic:nvPicPr>
                          <pic:cNvPr descr="index_files/figure-docx/notebooks-mak_figures-fig-4-output-1.png" id="63" name="Picture"/>
                          <pic:cNvPicPr>
                            <a:picLocks noChangeArrowheads="1" noChangeAspect="1"/>
                          </pic:cNvPicPr>
                        </pic:nvPicPr>
                        <pic:blipFill>
                          <a:blip r:embed="rId61"/>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4"/>
        </w:tc>
      </w:tr>
    </w:tbl>
    <w:bookmarkEnd w:id="65"/>
    <w:bookmarkEnd w:id="66"/>
    <w:bookmarkStart w:id="67" w:name="discussion"/>
    <w:p>
      <w:pPr>
        <w:pStyle w:val="Heading1"/>
      </w:pPr>
      <w:r>
        <w:t xml:space="preserve">Discussion</w:t>
      </w:r>
    </w:p>
    <w:p>
      <w:pPr>
        <w:numPr>
          <w:ilvl w:val="0"/>
          <w:numId w:val="1007"/>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7"/>
        </w:numPr>
      </w:pPr>
      <w:r>
        <w:t xml:space="preserve">When discussing fairness - we don’t look at age. People over 65 is an important group to look at but they were not in our sample</w:t>
      </w:r>
    </w:p>
    <w:p>
      <w:pPr>
        <w:numPr>
          <w:ilvl w:val="0"/>
          <w:numId w:val="1007"/>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7"/>
    <w:bookmarkStart w:id="86" w:name="references"/>
    <w:p>
      <w:pPr>
        <w:pStyle w:val="Heading1"/>
      </w:pPr>
      <w:r>
        <w:t xml:space="preserve">References</w:t>
      </w:r>
    </w:p>
    <w:bookmarkStart w:id="85" w:name="refs"/>
    <w:bookmarkStart w:id="6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8"/>
    <w:bookmarkStart w:id="7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9">
        <w:r>
          <w:rPr>
            <w:rStyle w:val="Hyperlink"/>
          </w:rPr>
          <w:t xml:space="preserve">https://doi.org/10.21231/GNT1-HW21</w:t>
        </w:r>
      </w:hyperlink>
    </w:p>
    <w:bookmarkEnd w:id="70"/>
    <w:bookmarkStart w:id="7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1">
        <w:r>
          <w:rPr>
            <w:rStyle w:val="Hyperlink"/>
          </w:rPr>
          <w:t xml:space="preserve">https://doi.org/10.1136/bmj-2023-078378</w:t>
        </w:r>
      </w:hyperlink>
    </w:p>
    <w:bookmarkEnd w:id="72"/>
    <w:bookmarkStart w:id="73"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3"/>
    <w:bookmarkStart w:id="7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4"/>
    <w:bookmarkStart w:id="7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5"/>
    <w:bookmarkStart w:id="77" w:name="Xcf5c24379c420c7d52e33945fae68f66bb13121"/>
    <w:p>
      <w:pPr>
        <w:pStyle w:val="Bibliography"/>
      </w:pPr>
      <w:r>
        <w:t xml:space="preserve">Morisky, D. E., Green, L. W., &amp; Levine, D. M. (1986). Concurrent and predictive validity of a self-reported measure of medication adherence.</w:t>
      </w:r>
      <w:r>
        <w:t xml:space="preserve"> </w:t>
      </w:r>
      <w:r>
        <w:rPr>
          <w:i/>
          <w:iCs/>
        </w:rPr>
        <w:t xml:space="preserve">Medical Care</w:t>
      </w:r>
      <w:r>
        <w:t xml:space="preserve">,</w:t>
      </w:r>
      <w:r>
        <w:t xml:space="preserve"> </w:t>
      </w:r>
      <w:r>
        <w:rPr>
          <w:i/>
          <w:iCs/>
        </w:rPr>
        <w:t xml:space="preserve">24</w:t>
      </w:r>
      <w:r>
        <w:t xml:space="preserve">(1), 67–74.</w:t>
      </w:r>
      <w:r>
        <w:t xml:space="preserve"> </w:t>
      </w:r>
      <w:hyperlink r:id="rId76">
        <w:r>
          <w:rPr>
            <w:rStyle w:val="Hyperlink"/>
          </w:rPr>
          <w:t xml:space="preserve">https://doi.org/10.1097/00005650-198601000-00007</w:t>
        </w:r>
      </w:hyperlink>
    </w:p>
    <w:bookmarkEnd w:id="77"/>
    <w:bookmarkStart w:id="7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78">
        <w:r>
          <w:rPr>
            <w:rStyle w:val="Hyperlink"/>
          </w:rPr>
          <w:t xml:space="preserve">https://doi.org/10.2196/29563</w:t>
        </w:r>
      </w:hyperlink>
    </w:p>
    <w:bookmarkEnd w:id="79"/>
    <w:bookmarkStart w:id="81"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80">
        <w:r>
          <w:rPr>
            <w:rStyle w:val="Hyperlink"/>
          </w:rPr>
          <w:t xml:space="preserve">https://doi.org/10.1016/j.artmed.2020.101987</w:t>
        </w:r>
      </w:hyperlink>
    </w:p>
    <w:bookmarkEnd w:id="81"/>
    <w:bookmarkStart w:id="82"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82"/>
    <w:bookmarkStart w:id="8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83">
        <w:r>
          <w:rPr>
            <w:rStyle w:val="Hyperlink"/>
          </w:rPr>
          <w:t xml:space="preserve">https://doi.org/10.31234/osf.io/cgsf7</w:t>
        </w:r>
      </w:hyperlink>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41">
    <w:p>
      <w:pPr>
        <w:pStyle w:val="FootnoteText"/>
      </w:pPr>
      <w:r>
        <w:rPr>
          <w:rStyle w:val="FootnoteReference"/>
        </w:rPr>
        <w:footnoteRef/>
      </w:r>
      <w:r>
        <w:t xml:space="preserve"> </w:t>
      </w:r>
      <w:r>
        <w:t xml:space="preserve">We required participants have at least two contextualized locations other than their home.</w:t>
      </w:r>
    </w:p>
  </w:footnote>
  <w:footnote w:id="45">
    <w:p>
      <w:pPr>
        <w:pStyle w:val="FootnoteText"/>
      </w:pPr>
      <w:r>
        <w:rPr>
          <w:rStyle w:val="FootnoteReference"/>
        </w:rPr>
        <w:footnoteRef/>
      </w:r>
      <w:r>
        <w:t xml:space="preserve"> </w:t>
      </w:r>
      <w:r>
        <w:t xml:space="preserve">The best model configuration used 1:4 upsampling of the minority class and the following hyperparameter values: learning rate = .1, tree depth = 1,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80" Target="https://doi.org/10.1016/j.artmed.2020.101987" TargetMode="External" /><Relationship Type="http://schemas.openxmlformats.org/officeDocument/2006/relationships/hyperlink" Id="rId76" Target="https://doi.org/10.1097/00005650-198601000-00007" TargetMode="External" /><Relationship Type="http://schemas.openxmlformats.org/officeDocument/2006/relationships/hyperlink" Id="rId71" Target="https://doi.org/10.1136/bmj-2023-078378" TargetMode="External" /><Relationship Type="http://schemas.openxmlformats.org/officeDocument/2006/relationships/hyperlink" Id="rId69" Target="https://doi.org/10.21231/GNT1-HW21" TargetMode="External" /><Relationship Type="http://schemas.openxmlformats.org/officeDocument/2006/relationships/hyperlink" Id="rId78" Target="https://doi.org/10.2196/29563" TargetMode="External" /><Relationship Type="http://schemas.openxmlformats.org/officeDocument/2006/relationships/hyperlink" Id="rId83"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16/j.artmed.2020.101987" TargetMode="External" /><Relationship Type="http://schemas.openxmlformats.org/officeDocument/2006/relationships/hyperlink" Id="rId76" Target="https://doi.org/10.1097/00005650-198601000-00007" TargetMode="External" /><Relationship Type="http://schemas.openxmlformats.org/officeDocument/2006/relationships/hyperlink" Id="rId71" Target="https://doi.org/10.1136/bmj-2023-078378" TargetMode="External" /><Relationship Type="http://schemas.openxmlformats.org/officeDocument/2006/relationships/hyperlink" Id="rId69" Target="https://doi.org/10.21231/GNT1-HW21" TargetMode="External" /><Relationship Type="http://schemas.openxmlformats.org/officeDocument/2006/relationships/hyperlink" Id="rId78" Target="https://doi.org/10.2196/29563" TargetMode="External" /><Relationship Type="http://schemas.openxmlformats.org/officeDocument/2006/relationships/hyperlink" Id="rId83"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2025-12-30T17:26:34Z</dcterms:created>
  <dcterms:modified xsi:type="dcterms:W3CDTF">2025-12-30T17:26:34Z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2025-12-30</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