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3.png" ContentType="image/png"/>
  <Override PartName="/word/media/rId5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2025-12-30</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41" w:name="methods"/>
    <w:p>
      <w:pPr>
        <w:pStyle w:val="Heading1"/>
      </w:pPr>
      <w:r>
        <w:t xml:space="preserve">Methods</w:t>
      </w:r>
    </w:p>
    <w:bookmarkStart w:id="25"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documented the changes made to the registered report below:</w:t>
      </w:r>
    </w:p>
    <w:bookmarkStart w:id="23" w:name="sensing-data-streams"/>
    <w:p>
      <w:pPr>
        <w:pStyle w:val="Heading3"/>
      </w:pPr>
      <w:r>
        <w:t xml:space="preserve">Sensing Data Streams</w:t>
      </w:r>
    </w:p>
    <w:p>
      <w:pPr>
        <w:pStyle w:val="FirstParagraph"/>
      </w:pPr>
      <w:r>
        <w:t xml:space="preserve">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(1) our group’s personal sensing work with alcohol use disorder, (2) technological constraints, and (3) the desire to balance feature diversity for capturing lapse complexity and minimizing participant burden and computational cost.</w:t>
      </w:r>
    </w:p>
    <w:p>
      <w:pPr>
        <w:numPr>
          <w:ilvl w:val="0"/>
          <w:numId w:val="1001"/>
        </w:numPr>
      </w:pPr>
      <w:r>
        <w:t xml:space="preserve">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w:t>
      </w:r>
      <w:r>
        <w:t xml:space="preserve">. Moreover, Apple places strict restrictions on app access to communications, meaning inclusion of these features would result in a model that could only be deployed within an Android operating system.</w:t>
      </w:r>
    </w:p>
    <w:p>
      <w:pPr>
        <w:numPr>
          <w:ilvl w:val="0"/>
          <w:numId w:val="1001"/>
        </w:numPr>
      </w:pPr>
      <w:r>
        <w:t xml:space="preserve">We discontinued collecting daily video check-ins about 6 months into the 2.5 year data collection due to technical issues and App usage data (beyond the required study tasks) were generally sparse and inconsistent across participants.</w:t>
      </w:r>
    </w:p>
    <w:p>
      <w:pPr>
        <w:numPr>
          <w:ilvl w:val="0"/>
          <w:numId w:val="1001"/>
        </w:numPr>
      </w:pPr>
      <w:r>
        <w:t xml:space="preserve">Self-report measures can substantially increase data collection burden and expand the feature space. Therefore, we opted to not include all measures. Monthly surveys were lengthy (20–30 minutes) and, based on our work with alcohol use disorder, added no incremental predictive value beyond the dynamic sensing data. However, individual differences in severity of use and stability of recovery at the time of intake have demonstrated some predictive signal. Key demographic variables known to influence OUD treatment access and clinical outcomes are also important to reduce model bias by preventing these effects being encoded into the model indirectly by proxy variables. See Measures section for a comprehensive list of all retained self-report items.</w:t>
      </w:r>
    </w:p>
    <w:bookmarkEnd w:id="23"/>
    <w:bookmarkStart w:id="24" w:name="resampling-method"/>
    <w:p>
      <w:pPr>
        <w:pStyle w:val="Heading3"/>
      </w:pPr>
      <w:r>
        <w:t xml:space="preserve">Resampling Method</w:t>
      </w:r>
    </w:p>
    <w:p>
      <w:pPr>
        <w:pStyle w:val="FirstParagraph"/>
      </w:pPr>
      <w:r>
        <w:t xml:space="preserve">Our initial protocol proposed repeated cross-validation for model selection and a single held-out test set for evaluation. Although we nearly reached our recruitment goal (N = 451/480), the number of participants with usable data was much lower (N = 300). To maximize data use, we eliminated the held-out test set and relied on repetitions in our cross-validation to mitigate optimization bias and provide generalizable performance estimates (i.e., 6 repeats of 5-fold cross-validation to generate 30 held-out test sets).</w:t>
      </w:r>
    </w:p>
    <w:bookmarkEnd w:id="24"/>
    <w:bookmarkEnd w:id="25"/>
    <w:bookmarkStart w:id="26"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2"/>
        </w:numPr>
      </w:pPr>
      <w:r>
        <w:t xml:space="preserve">were age 18 or older,</w:t>
      </w:r>
    </w:p>
    <w:p>
      <w:pPr>
        <w:pStyle w:val="Compact"/>
        <w:numPr>
          <w:ilvl w:val="0"/>
          <w:numId w:val="1002"/>
        </w:numPr>
      </w:pPr>
      <w:r>
        <w:t xml:space="preserve">could read, write, and speak in English,</w:t>
      </w:r>
    </w:p>
    <w:p>
      <w:pPr>
        <w:pStyle w:val="Compact"/>
        <w:numPr>
          <w:ilvl w:val="0"/>
          <w:numId w:val="1002"/>
        </w:numPr>
      </w:pPr>
      <w:r>
        <w:t xml:space="preserve">were enrolled in and adherent with an MOUD program for at least 1 month but no longer than 12 months,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EMAs, monthly surveys and sharing sensing data) and were paid $50 per month to offset the cost of maintaining a cellphone plan.</w:t>
      </w:r>
    </w:p>
    <w:bookmarkEnd w:id="26"/>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then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 Enrolled participants met with study staff 1 week later to troubleshoot technical issues. At the end of the study enrollment period participants met briefly with study staff for a debriefing session. While on study, participants were expected to complete daily EMA,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and income). Zip codes from participants’ reported home addresses were linked to Rural–Urban Commuting Area (RUCA) codes to characterize the rural–urban status of their residence</w:t>
      </w:r>
      <w:r>
        <w:t xml:space="preserve"> </w:t>
      </w:r>
      <w:r>
        <w:t xml:space="preserve">.</w:t>
      </w:r>
    </w:p>
    <w:p>
      <w:pPr>
        <w:pStyle w:val="BodyText"/>
      </w:pPr>
      <w:r>
        <w:t xml:space="preserve">We also collected information about OUD history to characterize OUD severity and recovery stability, including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ecological-momentary-assessment"/>
    <w:p>
      <w:pPr>
        <w:pStyle w:val="Heading3"/>
      </w:pPr>
      <w:r>
        <w:t xml:space="preserve">Ecological Momentary Assessment</w:t>
      </w:r>
    </w:p>
    <w:p>
      <w:pPr>
        <w:pStyle w:val="FirstParagraph"/>
      </w:pPr>
      <w:r>
        <w:t xml:space="preserve">Participants completed a brief (1-2 minute) EMA each day on study through the STAR app. The EMA became available in the app at 5:00 AM CST each morning and participants had 24 hours to complete it. Participants could enable push notifications for reminder prompts to complete the assessment. Each EMA had 16-items that asked participants to report the date and time of any recent opioid use for nonmedical reasons not yet reported. These reports served as the primary outcome for the lapse risk prediction model. Participants also reported any other drugs that they had used in the past 24 hours by selecting all that apply from a list of substance categories. Other items asked about mood, pain, sleep quality, urges to use opioids, risky situations, stressful and pleasant events, and MOUD adherence in the past 24 hours. The EMA concluded with 2 future-facing items that asked about participants’ motivation and confidence to continue to avoid using opioids for nonmedical reasons over the next week. The full EMA questionnaire is available in the supplement.</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contexts.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30"/>
    <w:bookmarkEnd w:id="31"/>
    <w:bookmarkStart w:id="4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Features were engineered from three sources:</w:t>
      </w:r>
    </w:p>
    <w:p>
      <w:pPr>
        <w:numPr>
          <w:ilvl w:val="0"/>
          <w:numId w:val="1003"/>
        </w:numPr>
      </w:pPr>
      <w:r>
        <w:rPr>
          <w:i/>
          <w:iCs/>
        </w:rPr>
        <w:t xml:space="preserve">The prediction window.</w:t>
      </w:r>
      <w:r>
        <w:t xml:space="preserve"> </w:t>
      </w:r>
      <w:r>
        <w:t xml:space="preserve">We created dummy-coded features for day of the week for the start of the prediction window.</w:t>
      </w:r>
    </w:p>
    <w:p>
      <w:pPr>
        <w:numPr>
          <w:ilvl w:val="0"/>
          <w:numId w:val="1003"/>
        </w:numPr>
      </w:pPr>
      <w:r>
        <w:rPr>
          <w:i/>
          <w:iCs/>
        </w:rPr>
        <w:t xml:space="preserve">Static individual differences in demographic and OUD characteristics.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and race and ethnicity (non-Hispanic White vs. Hispanic and/or not White). For OUD characteristics we created ordinal features for recovery satisfaction, recovery motivation, recovery confidence, MOUD side effects experienced, perceived efficacy of MOUD medication, and likelihood of continuing MOUD (ranges 0-4), ordinal features for frequency of counseling sessions and self-help meetings attended in the past month (ranges 0-3), a quantitative feature for number of self-reported DSM-5 OUD symptoms, an ordinal feature for lifetime history of overdose (range 0-4), and dummy coded features for past month opioid use (yes vs. no), past month detox or residential treatment (yes vs. no), past month psychiatric medication (yes vs. no), preferred opioid (fentanyl vs. heroin vs. prescription opioid not for opioid treatment vs. medication for opioid treatment), and preferred route of administration (injection vs. oral vs. smoke vs. sniff/snort vs. other).</w:t>
      </w:r>
    </w:p>
    <w:p>
      <w:pPr>
        <w:numPr>
          <w:ilvl w:val="0"/>
          <w:numId w:val="1003"/>
        </w:numPr>
      </w:pPr>
      <w:r>
        <w:rPr>
          <w:i/>
          <w:iCs/>
        </w:rPr>
        <w:t xml:space="preserve">Dynamic EMA and geolocation sensing data.</w:t>
      </w:r>
      <w:r>
        <w:t xml:space="preserve"> </w:t>
      </w:r>
      <w:r>
        <w:t xml:space="preserve">For both sets of dynamic features we calculated two types of features: raw and difference features. Raw features represent the feature value calculated within a scoring epoch (e.g., the maximum urge rating reported on EMA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EMAs subtracted from the maximum urge rating in the preceding 48 hours).</w:t>
      </w:r>
    </w:p>
    <w:p>
      <w:pPr>
        <w:numPr>
          <w:ilvl w:val="0"/>
          <w:numId w:val="1000"/>
        </w:numPr>
      </w:pPr>
      <w:r>
        <w:t xml:space="preserve">We used three scoring epochs (48, 72, and 168 hours before the start of the prediction window) to create features from the daily EMA.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across all EMAs in each epoch for a given participant. We also calculated raw and difference rate features based on counts of opioid lapses, other drug use, missed MOUD doses (items 1-3), and completed EMAs across all EMAs in each scoring epoch.</w:t>
      </w:r>
    </w:p>
    <w:p>
      <w:pPr>
        <w:numPr>
          <w:ilvl w:val="0"/>
          <w:numId w:val="1000"/>
        </w:numPr>
      </w:pPr>
      <w:r>
        <w:t xml:space="preserve">We used six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 (i.e., moving faster than 4 miles per hour) and time out in the evenings (i.e., not at their home between the hours of 7:00pm-4:00am).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features of location variance (i.e., the extent to which a participant’s location changes over a scoring epoch).</w:t>
      </w:r>
    </w:p>
    <w:p>
      <w:pPr>
        <w:pStyle w:val="FirstParagraph"/>
      </w:pPr>
      <w:r>
        <w:t xml:space="preserve">All features (sets 1-3 above) were included in our full model. We also fit a baseline model that excluded the dynamic EMA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2"/>
    <w:bookmarkStart w:id="3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EMA).</w:t>
      </w:r>
    </w:p>
    <w:p>
      <w:pPr>
        <w:pStyle w:val="BodyText"/>
      </w:pPr>
      <w:r>
        <w:t xml:space="preserve">Participants reported lapses on the first EMA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3"/>
    <w:bookmarkStart w:id="34" w:name="model-configurations"/>
    <w:p>
      <w:pPr>
        <w:pStyle w:val="Heading3"/>
      </w:pPr>
      <w:r>
        <w:t xml:space="preserve">Model Configurations</w:t>
      </w:r>
    </w:p>
    <w:p>
      <w:pPr>
        <w:pStyle w:val="FirstParagraph"/>
      </w:pPr>
      <w:r>
        <w:t xml:space="preserve">Candidate model configurations differed on statistical algorithm, hyperparameter values, resampling of outcome, and feature set. We considered five statistical algorithms that differed in terms of assumptions and bias-variance tradeoff: elastic net, random forest, XGBoost, a single-layer neural network, and a support vector machine</w:t>
      </w:r>
      <w:r>
        <w:t xml:space="preserve">. Configurations differed across sensible values for key hyperparameters. Configurations also differed on outcome resampling method (i.e., up-sampling and down-sampling of the outcome at ratios ranging from 5:1 to 1:1). All resampling was exclusively done in the held-in training data (i.e., test data was not resampled) to prevent biasing performance estimates</w:t>
      </w:r>
      <w:r>
        <w:t xml:space="preserve"> </w:t>
      </w:r>
      <w:r>
        <w:t xml:space="preserve">(Vandewiele et al., 2021)</w:t>
      </w:r>
      <w:r>
        <w:t xml:space="preserve">. Lastly, configurations differed on feature set (full vs. baseline). Our primary full model configurations used all available features (see Feature Engineering section). Our baseline model configurations used only features from the prediction window (day of week) and demographic and OUD characteristics (i.e., it excluded EMA and geolocation features).</w:t>
      </w:r>
    </w:p>
    <w:p>
      <w:pPr>
        <w:pStyle w:val="BodyText"/>
      </w:pPr>
      <w:r>
        <w:t xml:space="preserve">The best full and baseline model configurations were selected using 6 repeats of participant-grouped 5-fold cross-validation. Grouped cross-validation assigns all data from a participant as either held-in or held-out to avoid bias introduced when predicting a participant’s data from their own data. Folds were stratified by a between-subject measure of our outcome (no lapse vs. any lapse).</w:t>
      </w:r>
    </w:p>
    <w:bookmarkEnd w:id="34"/>
    <w:bookmarkStart w:id="38" w:name="model-evaluation"/>
    <w:p>
      <w:pPr>
        <w:pStyle w:val="Heading3"/>
      </w:pPr>
      <w:r>
        <w:t xml:space="preserve">Model Evaluation</w:t>
      </w:r>
    </w:p>
    <w:p>
      <w:pPr>
        <w:pStyle w:val="FirstParagraph"/>
      </w:pPr>
      <w:r>
        <w:t xml:space="preserve">We evaluate the best full model’s probability predictions across three domains: discrimination, calibration, and overall performance. We follow best recommendations for reporting measures and plots to characterize these performance domains</w:t>
      </w:r>
      <w:r>
        <w:t xml:space="preserve"> </w:t>
      </w:r>
      <w:r>
        <w:t xml:space="preserve">(Van Calster et al., 2025)</w:t>
      </w:r>
      <w:r>
        <w:t xml:space="preserve">. Classification and clinical utility are two other important domains for evaluating a model intended to make or inform a decision (e.g., whether to send a support message to an individual). In our scenario there is no decision to be made. Hypothetically, every day an individual would receive a message regardless of lapse risk, equivalent to a treat all condition. Therefore, we have constrained our evaluation to focus on the probability estimates for evaluating performance.</w:t>
      </w:r>
    </w:p>
    <w:bookmarkStart w:id="3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represents the probability that the model will assign a higher predicted probability to a randomly selected positive case (lapse) compared to a randomly selected negative case (no lapse). auROC is an aggregate measure of discrimination across all possible decision thresholds. This is important because optimal thresholds depend on the setting, outcome prevalence, and the relative costs of misclassification, and should be addressed separately (e.g., with a decision curve analysis).</w:t>
      </w:r>
    </w:p>
    <w:p>
      <w:pPr>
        <w:pStyle w:val="BodyText"/>
      </w:pPr>
      <w:r>
        <w:t xml:space="preserve">We used a Bayesian hierarchical generalized linear model to estimate the posterior distribution and 95% credible intervals (CI) for auROC for the 30 held-out test sets for our best full and baseline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auROCs were transformed using the logit function and regressed as a function of model contrast (full vs. baseline). From the Bayesian model we obtained the posterior distribution for auROC for the full and baseline models. We reported the median posterior probability for auROC and 95% CIs for each model. We then conducted a Bayesian model comparison to determine the probability that the full and baseline models’ performances differed systematically from each other.</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(below poverty line vs. above poverty line), geographic location (rural vs. urban)</w:t>
      </w:r>
      <w:r>
        <w:rPr>
          <w:rStyle w:val="FootnoteReference"/>
        </w:rPr>
        <w:footnoteReference w:id="35"/>
      </w:r>
      <w:r>
        <w:t xml:space="preserve">, and education (high school or less vs. some college). We conducted Bayesian group comparisons to assess the likelihood that each model performs differently by group.</w:t>
      </w:r>
    </w:p>
    <w:bookmarkEnd w:id="36"/>
    <w:bookmarkStart w:id="37" w:name="calibration-and-overall-performance"/>
    <w:p>
      <w:pPr>
        <w:pStyle w:val="Heading4"/>
      </w:pPr>
      <w:r>
        <w:t xml:space="preserve">Calibration and Overall Performance</w:t>
      </w:r>
    </w:p>
    <w:p>
      <w:pPr>
        <w:pStyle w:val="FirstParagraph"/>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full model’s raw probabilities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7"/>
    <w:bookmarkEnd w:id="38"/>
    <w:bookmarkStart w:id="39" w:name="feature-importance"/>
    <w:p>
      <w:pPr>
        <w:pStyle w:val="Heading3"/>
      </w:pPr>
      <w:r>
        <w:t xml:space="preserve">Feature Importance</w:t>
      </w:r>
    </w:p>
    <w:bookmarkEnd w:id="39"/>
    <w:bookmarkEnd w:id="40"/>
    <w:bookmarkEnd w:id="41"/>
    <w:bookmarkStart w:id="68" w:name="results"/>
    <w:p>
      <w:pPr>
        <w:pStyle w:val="Heading1"/>
      </w:pPr>
      <w:r>
        <w:t xml:space="preserve">Results</w:t>
      </w:r>
    </w:p>
    <w:bookmarkStart w:id="45"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2"/>
      </w:r>
      <w:r>
        <w:t xml:space="preserve">, 13 participants were excluded due to insufficient context data for geolocation points</w:t>
      </w:r>
      <w:r>
        <w:rPr>
          <w:rStyle w:val="FootnoteReference"/>
        </w:rPr>
        <w:footnoteReference w:id="43"/>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4"/>
          <w:p/>
        </w:tc>
      </w:tr>
    </w:tbl>
    <w:bookmarkEnd w:id="45"/>
    <w:bookmarkStart w:id="46"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6"/>
    <w:bookmarkStart w:id="52" w:name="auroc-and-model-comparisons-1"/>
    <w:p>
      <w:pPr>
        <w:pStyle w:val="Heading2"/>
      </w:pPr>
      <w:r>
        <w:t xml:space="preserve">auROC and Model Comparisons</w:t>
      </w:r>
    </w:p>
    <w:p>
      <w:pPr>
        <w:pStyle w:val="FirstParagraph"/>
      </w:pPr>
      <w:r>
        <w:t xml:space="preserve">The best full model configuration used an xgboost statistical algorithm and up-sampled the minority class</w:t>
      </w:r>
      <w:r>
        <w:t xml:space="preserve">.</w:t>
      </w:r>
      <w:r>
        <w:rPr>
          <w:rStyle w:val="FootnoteReference"/>
        </w:rPr>
        <w:footnoteReference w:id="47"/>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day of week and demographic and OUD characteristic features to evaluate the incremental predictive value of adding the dynamic EMA and geolocation sensing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for the full model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fig-1"/>
          <w:p>
            <w:pPr>
              <w:pStyle w:val="Compact"/>
              <w:jc w:val="center"/>
            </w:pPr>
            <w:r>
              <w:drawing>
                <wp:inline>
                  <wp:extent cx="5334000" cy="3809999"/>
                  <wp:effectExtent b="0" l="0" r="0" t="0"/>
                  <wp:docPr descr="" title="" id="49" name="Picture"/>
                  <a:graphic>
                    <a:graphicData uri="http://schemas.openxmlformats.org/drawingml/2006/picture">
                      <pic:pic>
                        <pic:nvPicPr>
                          <pic:cNvPr descr="index_files/figure-docx/notebooks-mak_figures-fig-1-output-1.png" id="50" name="Picture"/>
                          <pic:cNvPicPr>
                            <a:picLocks noChangeArrowheads="1" noChangeAspect="1"/>
                          </pic:cNvPicPr>
                        </pic:nvPicPr>
                        <pic:blipFill>
                          <a:blip r:embed="rId48"/>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location, and some college education) are depicted in dark purple. Subgroups disadvantaged in access to substance use treatment and outcomes (not male, Hispanic and/or not White, below poverty, rural location, and high school education or less) are depicted in green. Overall model performance across groups is depicted as the dashed grey line.</w:t>
            </w:r>
          </w:p>
          <w:bookmarkEnd w:id="51"/>
        </w:tc>
      </w:tr>
    </w:tbl>
    <w:bookmarkEnd w:id="52"/>
    <w:bookmarkStart w:id="57" w:name="calibration-and-overall-performance-1"/>
    <w:p>
      <w:pPr>
        <w:pStyle w:val="Heading2"/>
      </w:pPr>
      <w:r>
        <w:t xml:space="preserve">Calibration and Overall Performance</w:t>
      </w:r>
    </w:p>
    <w:p>
      <w:pPr>
        <w:pStyle w:val="FirstParagraph"/>
      </w:pPr>
      <w:r>
        <w:t xml:space="preserve">The full model produced well-calibrated raw probabilities (brier score = 0.015) indicating that predicted probabilities generally matched the observed lapse rates. We attempted to improve calibration with Platt scaling but results were comparable (brier score = 0.015). A Calibration plot of the raw and calibrated probabilities and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2"/>
          <w:p>
            <w:pPr>
              <w:pStyle w:val="Compact"/>
              <w:jc w:val="center"/>
            </w:pPr>
            <w:r>
              <w:drawing>
                <wp:inline>
                  <wp:extent cx="5334000" cy="3333750"/>
                  <wp:effectExtent b="0" l="0" r="0" t="0"/>
                  <wp:docPr descr="" title="" id="54" name="Picture"/>
                  <a:graphic>
                    <a:graphicData uri="http://schemas.openxmlformats.org/drawingml/2006/picture">
                      <pic:pic>
                        <pic:nvPicPr>
                          <pic:cNvPr descr="index_files/figure-docx/notebooks-mak_figures-fig-2-output-1.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56"/>
        </w:tc>
      </w:tr>
    </w:tbl>
    <w:bookmarkEnd w:id="57"/>
    <w:bookmarkStart w:id="67"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2" w:name="fig-3"/>
          <w:p>
            <w:pPr>
              <w:pStyle w:val="Compact"/>
              <w:jc w:val="center"/>
            </w:pPr>
            <w:bookmarkStart w:id="61" w:name="fig-3"/>
            <w:r>
              <w:drawing>
                <wp:inline>
                  <wp:extent cx="5334000" cy="3333750"/>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bookmarkEnd w:id="61"/>
          </w:p>
          <w:p>
            <w:pPr>
              <w:jc w:val="center"/>
            </w:pPr>
            <w:pPr>
              <w:jc w:val="start"/>
              <w:spacing w:before="200"/>
              <w:pStyle w:val="ImageCaption"/>
            </w:pPr>
            <w:r>
              <w:t xml:space="preserve">Figure 3</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4"/>
          <w:p>
            <w:pPr>
              <w:pStyle w:val="Compact"/>
              <w:jc w:val="center"/>
            </w:pPr>
            <w:r>
              <w:drawing>
                <wp:inline>
                  <wp:extent cx="5334000" cy="7467600"/>
                  <wp:effectExtent b="0" l="0" r="0" t="0"/>
                  <wp:docPr descr="" title="" id="64" name="Picture"/>
                  <a:graphic>
                    <a:graphicData uri="http://schemas.openxmlformats.org/drawingml/2006/picture">
                      <pic:pic>
                        <pic:nvPicPr>
                          <pic:cNvPr descr="index_files/figure-docx/notebooks-mak_figures-fig-4-output-1.png" id="65" name="Picture"/>
                          <pic:cNvPicPr>
                            <a:picLocks noChangeArrowheads="1" noChangeAspect="1"/>
                          </pic:cNvPicPr>
                        </pic:nvPicPr>
                        <pic:blipFill>
                          <a:blip r:embed="rId6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6"/>
        </w:tc>
      </w:tr>
    </w:tbl>
    <w:bookmarkEnd w:id="67"/>
    <w:bookmarkEnd w:id="68"/>
    <w:bookmarkStart w:id="69" w:name="discussion"/>
    <w:p>
      <w:pPr>
        <w:pStyle w:val="Heading1"/>
      </w:pPr>
      <w:r>
        <w:t xml:space="preserve">Discussion</w:t>
      </w:r>
    </w:p>
    <w:p>
      <w:pPr>
        <w:numPr>
          <w:ilvl w:val="0"/>
          <w:numId w:val="1004"/>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4"/>
        </w:numPr>
      </w:pPr>
      <w:r>
        <w:t xml:space="preserve">When discussing fairness - we don’t look at age. People over 65 is an important group to look at but they were not in our sample</w:t>
      </w:r>
    </w:p>
    <w:p>
      <w:pPr>
        <w:numPr>
          <w:ilvl w:val="0"/>
          <w:numId w:val="1004"/>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9"/>
    <w:bookmarkStart w:id="91" w:name="references"/>
    <w:p>
      <w:pPr>
        <w:pStyle w:val="Heading1"/>
      </w:pPr>
      <w:r>
        <w:t xml:space="preserve">References</w:t>
      </w:r>
    </w:p>
    <w:bookmarkStart w:id="90" w:name="refs"/>
    <w:bookmarkStart w:id="70"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0"/>
    <w:bookmarkStart w:id="72"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1">
        <w:r>
          <w:rPr>
            <w:rStyle w:val="Hyperlink"/>
          </w:rPr>
          <w:t xml:space="preserve">https://doi.org/10.21231/GNT1-HW21</w:t>
        </w:r>
      </w:hyperlink>
    </w:p>
    <w:bookmarkEnd w:id="72"/>
    <w:bookmarkStart w:id="74"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3">
        <w:r>
          <w:rPr>
            <w:rStyle w:val="Hyperlink"/>
          </w:rPr>
          <w:t xml:space="preserve">https://doi.org/10.1136/bmj-2023-078378</w:t>
        </w:r>
      </w:hyperlink>
    </w:p>
    <w:bookmarkEnd w:id="74"/>
    <w:bookmarkStart w:id="7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5"/>
    <w:bookmarkStart w:id="7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6"/>
    <w:bookmarkStart w:id="7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7"/>
    <w:bookmarkStart w:id="79"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78">
        <w:r>
          <w:rPr>
            <w:rStyle w:val="Hyperlink"/>
          </w:rPr>
          <w:t xml:space="preserve">https://doi.org/10.1097/00005650-198601000-00007</w:t>
        </w:r>
      </w:hyperlink>
    </w:p>
    <w:bookmarkEnd w:id="79"/>
    <w:bookmarkStart w:id="81"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80">
        <w:r>
          <w:rPr>
            <w:rStyle w:val="Hyperlink"/>
          </w:rPr>
          <w:t xml:space="preserve">https://doi.org/10.2196/29563</w:t>
        </w:r>
      </w:hyperlink>
    </w:p>
    <w:bookmarkEnd w:id="81"/>
    <w:bookmarkStart w:id="82"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82"/>
    <w:bookmarkStart w:id="84"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83">
        <w:r>
          <w:rPr>
            <w:rStyle w:val="Hyperlink"/>
          </w:rPr>
          <w:t xml:space="preserve">https://doi.org/10.1016/j.landig.2025.100916</w:t>
        </w:r>
      </w:hyperlink>
    </w:p>
    <w:bookmarkEnd w:id="84"/>
    <w:bookmarkStart w:id="86"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85">
        <w:r>
          <w:rPr>
            <w:rStyle w:val="Hyperlink"/>
          </w:rPr>
          <w:t xml:space="preserve">https://doi.org/10.1016/j.artmed.2020.101987</w:t>
        </w:r>
      </w:hyperlink>
    </w:p>
    <w:bookmarkEnd w:id="86"/>
    <w:bookmarkStart w:id="87"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87"/>
    <w:bookmarkStart w:id="89"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8">
        <w:r>
          <w:rPr>
            <w:rStyle w:val="Hyperlink"/>
          </w:rPr>
          <w:t xml:space="preserve">https://doi.org/10.31234/osf.io/cgsf7</w:t>
        </w:r>
      </w:hyperlink>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p>
  </w:footnote>
  <w:footnote w:id="42">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3">
    <w:p>
      <w:pPr>
        <w:pStyle w:val="FootnoteText"/>
      </w:pPr>
      <w:r>
        <w:rPr>
          <w:rStyle w:val="FootnoteReference"/>
        </w:rPr>
        <w:footnoteRef/>
      </w:r>
      <w:r>
        <w:t xml:space="preserve"> </w:t>
      </w:r>
      <w:r>
        <w:t xml:space="preserve">We required participants have at least two contextualized locations other than their home.</w:t>
      </w:r>
    </w:p>
  </w:footnote>
  <w:footnote w:id="47">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85" Target="https://doi.org/10.1016/j.artmed.2020.101987" TargetMode="External" /><Relationship Type="http://schemas.openxmlformats.org/officeDocument/2006/relationships/hyperlink" Id="rId83" Target="https://doi.org/10.1016/j.landig.2025.100916" TargetMode="External" /><Relationship Type="http://schemas.openxmlformats.org/officeDocument/2006/relationships/hyperlink" Id="rId78" Target="https://doi.org/10.1097/00005650-198601000-00007" TargetMode="External" /><Relationship Type="http://schemas.openxmlformats.org/officeDocument/2006/relationships/hyperlink" Id="rId73" Target="https://doi.org/10.1136/bmj-2023-078378" TargetMode="External" /><Relationship Type="http://schemas.openxmlformats.org/officeDocument/2006/relationships/hyperlink" Id="rId71" Target="https://doi.org/10.21231/GNT1-HW21" TargetMode="External" /><Relationship Type="http://schemas.openxmlformats.org/officeDocument/2006/relationships/hyperlink" Id="rId80" Target="https://doi.org/10.2196/29563" TargetMode="External" /><Relationship Type="http://schemas.openxmlformats.org/officeDocument/2006/relationships/hyperlink" Id="rId88"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16/j.artmed.2020.101987" TargetMode="External" /><Relationship Type="http://schemas.openxmlformats.org/officeDocument/2006/relationships/hyperlink" Id="rId83" Target="https://doi.org/10.1016/j.landig.2025.100916" TargetMode="External" /><Relationship Type="http://schemas.openxmlformats.org/officeDocument/2006/relationships/hyperlink" Id="rId78" Target="https://doi.org/10.1097/00005650-198601000-00007" TargetMode="External" /><Relationship Type="http://schemas.openxmlformats.org/officeDocument/2006/relationships/hyperlink" Id="rId73" Target="https://doi.org/10.1136/bmj-2023-078378" TargetMode="External" /><Relationship Type="http://schemas.openxmlformats.org/officeDocument/2006/relationships/hyperlink" Id="rId71" Target="https://doi.org/10.21231/GNT1-HW21" TargetMode="External" /><Relationship Type="http://schemas.openxmlformats.org/officeDocument/2006/relationships/hyperlink" Id="rId80" Target="https://doi.org/10.2196/29563" TargetMode="External" /><Relationship Type="http://schemas.openxmlformats.org/officeDocument/2006/relationships/hyperlink" Id="rId88"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2025-12-31T00:29:34Z</dcterms:created>
  <dcterms:modified xsi:type="dcterms:W3CDTF">2025-12-31T00:29:34Z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2025-12-30</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