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6.png" ContentType="image/png"/>
  <Override PartName="/word/media/rId51.png" ContentType="image/png"/>
  <Override PartName="/word/media/rId56.png" ContentType="image/png"/>
  <Override PartName="/word/media/rId6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Dynamic lapse risk prediction in a national sample of individuals with opioid use disorder using personal sensing and machine learning</w:t>
      </w:r>
    </w:p>
    <w:p>
      <w:pPr>
        <w:pStyle w:val="Author"/>
      </w:pPr>
      <w:r>
        <w:t xml:space="preserve">Kendra Wyant</w:t>
      </w:r>
    </w:p>
    <w:p>
      <w:pPr>
        <w:pStyle w:val="Author"/>
      </w:pPr>
      <w:r>
        <w:t xml:space="preserve">John J. Curtin</w:t>
      </w:r>
    </w:p>
    <w:p>
      <w:pPr>
        <w:pStyle w:val="Date"/>
      </w:pPr>
      <w:r>
        <w:t xml:space="preserve">2025-12-29</w:t>
      </w:r>
    </w:p>
    <w:p>
      <w:pPr>
        <w:pStyle w:val="AbstractTitle"/>
      </w:pPr>
      <w:r>
        <w:t xml:space="preserve">Abstract</w:t>
      </w:r>
    </w:p>
    <w:p>
      <w:pPr>
        <w:pStyle w:val="Abstract"/>
      </w:pPr>
      <w:r>
        <w:t xml:space="preserve">Enter abstract here.</w:t>
      </w:r>
    </w:p>
    <w:bookmarkStart w:id="20" w:name="introduction"/>
    <w:p>
      <w:pPr>
        <w:pStyle w:val="Heading1"/>
      </w:pPr>
      <w:r>
        <w:t xml:space="preserve">Introduction</w:t>
      </w:r>
    </w:p>
    <w:bookmarkEnd w:id="20"/>
    <w:bookmarkStart w:id="39" w:name="methods"/>
    <w:p>
      <w:pPr>
        <w:pStyle w:val="Heading1"/>
      </w:pPr>
      <w:r>
        <w:t xml:space="preserve">Methods</w:t>
      </w:r>
    </w:p>
    <w:bookmarkStart w:id="25" w:name="transparency-and-openness"/>
    <w:p>
      <w:pPr>
        <w:pStyle w:val="Heading2"/>
      </w:pPr>
      <w:r>
        <w:t xml:space="preserve">Transparency and Openness</w:t>
      </w:r>
    </w:p>
    <w:p>
      <w:pPr>
        <w:pStyle w:val="FirstParagraph"/>
      </w:pPr>
      <w:r>
        <w:t xml:space="preserve">We adhere to research transparency principles that are crucial for robust and replicable science. First, we published this study’s protocol as a registered report (International Registered Report Identifier [IRRID]: DERR1-10.2196/29563) during the initial enrollment of pilot participants</w:t>
      </w:r>
      <w:r>
        <w:t xml:space="preserve"> </w:t>
      </w:r>
      <w:r>
        <w:t xml:space="preserve">(Moshontz et al., 2021)</w:t>
      </w:r>
      <w:r>
        <w:t xml:space="preserve">. Second, we followed the Transparent Reporting of a multivariable prediction model for Individual Prognosis Or Diagnosis extension for Artificial Intelligence (TRIPOD+AI) guidelines</w:t>
      </w:r>
      <w:r>
        <w:t xml:space="preserve"> </w:t>
      </w:r>
      <w:r>
        <w:t xml:space="preserve">(Collins et al., 2024)</w:t>
      </w:r>
      <w:r>
        <w:t xml:space="preserve">. A TRIPOD+AI checklist is available in the supplement. Finally, our data, questionnaires, and other study materials are publicly available on our OSF page (</w:t>
      </w:r>
      <w:hyperlink r:id="rId21">
        <w:r>
          <w:rPr>
            <w:rStyle w:val="Hyperlink"/>
          </w:rPr>
          <w:t xml:space="preserve">https://osf.io/zvm7s/overview</w:t>
        </w:r>
      </w:hyperlink>
      <w:r>
        <w:t xml:space="preserve">) and our annotated analysis scripts and results are publicly available on our study website (</w:t>
      </w:r>
      <w:hyperlink r:id="rId22">
        <w:r>
          <w:rPr>
            <w:rStyle w:val="Hyperlink"/>
          </w:rPr>
          <w:t xml:space="preserve">https://jjcurtin.github.io/study_risk2/</w:t>
        </w:r>
      </w:hyperlink>
      <w:r>
        <w:t xml:space="preserve">).</w:t>
      </w:r>
    </w:p>
    <w:p>
      <w:pPr>
        <w:pStyle w:val="BodyText"/>
      </w:pPr>
      <w:r>
        <w:t xml:space="preserve">For transparency, we documented the changes made to the registered report below:</w:t>
      </w:r>
    </w:p>
    <w:bookmarkStart w:id="23" w:name="sensing-data-streams"/>
    <w:p>
      <w:pPr>
        <w:pStyle w:val="Heading3"/>
      </w:pPr>
      <w:r>
        <w:t xml:space="preserve">Sensing Data Streams</w:t>
      </w:r>
    </w:p>
    <w:p>
      <w:pPr>
        <w:pStyle w:val="FirstParagraph"/>
      </w:pPr>
      <w:r>
        <w:t xml:space="preserve">Our candidate models included features derived from a subset of intake self-report measures, daily EMA, and geolocation sensing data (see Measures section). Consequently, we excluded cellular communication data, daily video check-ins, app usage data, and certain self-report measures. These decisions were informed by (1) our group’s personal sensing work with alcohol use disorder, (2) technological constraints, and (3) the desire to balance feature diversity for capturing lapse complexity and minimizing participant burden and computational cost.</w:t>
      </w:r>
    </w:p>
    <w:p>
      <w:pPr>
        <w:numPr>
          <w:ilvl w:val="0"/>
          <w:numId w:val="1001"/>
        </w:numPr>
      </w:pPr>
      <w:r>
        <w:t xml:space="preserve">In our alcohol use disorder research, EMA and geolocation sensing have shown moderate to excellent predictive signal (aurocs .72-.91</w:t>
      </w:r>
      <w:r>
        <w:t xml:space="preserve">)</w:t>
      </w:r>
      <w:r>
        <w:t xml:space="preserve"> </w:t>
      </w:r>
      <w:r>
        <w:t xml:space="preserve">(Wyant et al., 2024; Wyant et al., under review,</w:t>
      </w:r>
      <w:r>
        <w:t xml:space="preserve"> </w:t>
      </w:r>
      <w:r>
        <w:t xml:space="preserve">)</w:t>
      </w:r>
      <w:r>
        <w:t xml:space="preserve">. Cellular communication sensing, however, has fallen short of these thresholds</w:t>
      </w:r>
      <w:r>
        <w:t xml:space="preserve">. Moreover, Apple places strict restrictions on app access to communications, meaning inclusion of these features would result in a model that could only be deployed within an Android operating system.</w:t>
      </w:r>
    </w:p>
    <w:p>
      <w:pPr>
        <w:numPr>
          <w:ilvl w:val="0"/>
          <w:numId w:val="1001"/>
        </w:numPr>
      </w:pPr>
      <w:r>
        <w:t xml:space="preserve">We discontinued collecting daily video check-ins about 6 months into the 2.5 year data collection due to technical issues and App usage data (beyond the required study tasks) were generally sparse and inconsistent across participants.</w:t>
      </w:r>
    </w:p>
    <w:p>
      <w:pPr>
        <w:numPr>
          <w:ilvl w:val="0"/>
          <w:numId w:val="1001"/>
        </w:numPr>
      </w:pPr>
      <w:r>
        <w:t xml:space="preserve">Self-report measures can substantially increase data collection burden and expand the feature space. Therefore, we opted to not include all measures. Monthly surveys were lengthy (20–30 minutes) and, based on our work with alcohol use disorder, added no incremental predictive value beyond the dynamic sensing data. However, individual differences in severity of use and stability of recovery at the time of intake have demonstrated some predictive signal. Key demographic variables known to influence OUD treatment access and clinical outcomes are also important to reduce model bias by preventing these effects being encoded into the model indirectly by proxy variables. See Measures section for a comprehensive list of all retained self-report items.</w:t>
      </w:r>
    </w:p>
    <w:bookmarkEnd w:id="23"/>
    <w:bookmarkStart w:id="24" w:name="resampling-method"/>
    <w:p>
      <w:pPr>
        <w:pStyle w:val="Heading3"/>
      </w:pPr>
      <w:r>
        <w:t xml:space="preserve">Resampling Method</w:t>
      </w:r>
    </w:p>
    <w:p>
      <w:pPr>
        <w:pStyle w:val="FirstParagraph"/>
      </w:pPr>
      <w:r>
        <w:t xml:space="preserve">Our initial protocol proposed repeated cross-validation for model selection and a single held-out test set for evaluation. Although we nearly reached our recruitment goal (N = 451/480), the number of participants with usable data was much lower (N = 300). To maximize data use, we eliminated the held-out test set and increased repetitions in our cross-validation to mitigate optimization bias and provide generalizable performance estimates.</w:t>
      </w:r>
    </w:p>
    <w:bookmarkEnd w:id="24"/>
    <w:bookmarkEnd w:id="25"/>
    <w:bookmarkStart w:id="26" w:name="participants"/>
    <w:p>
      <w:pPr>
        <w:pStyle w:val="Heading2"/>
      </w:pPr>
      <w:r>
        <w:t xml:space="preserve">Participants</w:t>
      </w:r>
    </w:p>
    <w:p>
      <w:pPr>
        <w:pStyle w:val="FirstParagraph"/>
      </w:pPr>
      <w:r>
        <w:t xml:space="preserve">We recruited 451 participants in early recovery from opioid use disorder from across the United States. We recruited through national digital advertising and collaborations with treatment providers at MOUD clinics. Our recruitment strategy was designed to create a diverse sample with respect to demographics (gender, age, race, and ethnicity), and geographic location (urban and rural). We required participants:</w:t>
      </w:r>
    </w:p>
    <w:p>
      <w:pPr>
        <w:pStyle w:val="Compact"/>
        <w:numPr>
          <w:ilvl w:val="0"/>
          <w:numId w:val="1002"/>
        </w:numPr>
      </w:pPr>
      <w:r>
        <w:t xml:space="preserve">were age 18 or older,</w:t>
      </w:r>
    </w:p>
    <w:p>
      <w:pPr>
        <w:pStyle w:val="Compact"/>
        <w:numPr>
          <w:ilvl w:val="0"/>
          <w:numId w:val="1002"/>
        </w:numPr>
      </w:pPr>
      <w:r>
        <w:t xml:space="preserve">could read, write, and speak in English,</w:t>
      </w:r>
    </w:p>
    <w:p>
      <w:pPr>
        <w:pStyle w:val="Compact"/>
        <w:numPr>
          <w:ilvl w:val="0"/>
          <w:numId w:val="1002"/>
        </w:numPr>
      </w:pPr>
      <w:r>
        <w:t xml:space="preserve">were enrolled in and adherent with an MOUD program for at least 1 month but no longer than 12 months, and</w:t>
      </w:r>
    </w:p>
    <w:p>
      <w:pPr>
        <w:pStyle w:val="Compact"/>
        <w:numPr>
          <w:ilvl w:val="0"/>
          <w:numId w:val="1002"/>
        </w:numPr>
      </w:pPr>
      <w:r>
        <w:t xml:space="preserve">had an Android smartphone with an active cellular plan.</w:t>
      </w:r>
    </w:p>
    <w:p>
      <w:pPr>
        <w:pStyle w:val="FirstParagraph"/>
      </w:pPr>
      <w:r>
        <w:t xml:space="preserve">We did not exclude participants for comorbid substance use or other psychiatric disorders. Participants were compensated up to $75 per month for completing study tasks (i.e., EMAs, monthly surveys and sharing sensing data) and were paid $50 per month to offset the cost of maintaining a cellphone plan.</w:t>
      </w:r>
    </w:p>
    <w:bookmarkEnd w:id="26"/>
    <w:bookmarkStart w:id="27" w:name="procedure"/>
    <w:p>
      <w:pPr>
        <w:pStyle w:val="Heading2"/>
      </w:pPr>
      <w:r>
        <w:t xml:space="preserve">Procedure</w:t>
      </w:r>
    </w:p>
    <w:p>
      <w:pPr>
        <w:pStyle w:val="FirstParagraph"/>
      </w:pPr>
      <w:r>
        <w:t xml:space="preserve">Participants completed three video or phone visits over approximately 12 months. During the enrollment visit, study staff obtained written informed consent and collected demographic information. They then walked participants through how to download the Smart Technology for Addiction Recovery (STAR) study app, provided a set of video tutorials to learn how to use the app, and instructed participants to complete the intake survey within the app. The STAR app was developed with the UW Madison Center for Health Enhancement Systems Studies (CHESS) and used for all data collection. Within the app participants could control their data sharing options, monitor completed study tasks, receive reminder notifications about tasks, message staff, and access CHESS’s suite of resources and tools for people in recovery from AUD. Enrolled participants met with study staff 1 week later to troubleshoot technical issues. At the end of the study enrollment period participants met briefly with study staff for a debriefing session. While on study, participants were expected to complete daily EMA, monthly surveys, and share geolocation sensing data. Other sensing data streams (i.e., daily video check-ins, cellular communications, and app usage data) were collected as part of the parent grant’s aims (NIDA R01 DA047315). All procedures were approved by the University of Wisconsin-Madison Institutional Review Board (Study #2019-0656).</w:t>
      </w:r>
    </w:p>
    <w:bookmarkEnd w:id="27"/>
    <w:bookmarkStart w:id="31" w:name="measures"/>
    <w:p>
      <w:pPr>
        <w:pStyle w:val="Heading2"/>
      </w:pPr>
      <w:r>
        <w:t xml:space="preserve">Measures</w:t>
      </w:r>
    </w:p>
    <w:bookmarkStart w:id="28" w:name="individual-differences"/>
    <w:p>
      <w:pPr>
        <w:pStyle w:val="Heading3"/>
      </w:pPr>
      <w:r>
        <w:t xml:space="preserve">Individual Differences</w:t>
      </w:r>
    </w:p>
    <w:p>
      <w:pPr>
        <w:pStyle w:val="FirstParagraph"/>
      </w:pPr>
      <w:r>
        <w:t xml:space="preserve">We collected self-report information about demographics (age, gender, orientation, race, ethnicity, education, and income). Zip codes from participants’ reported home addresses were matched to Rural-Urban Commuting Area (RUCA) codes to identify whether individuals resided in rural or urban areas</w:t>
      </w:r>
      <w:r>
        <w:t xml:space="preserve"> </w:t>
      </w:r>
      <w:r>
        <w:t xml:space="preserve">(</w:t>
      </w:r>
      <w:r>
        <w:rPr>
          <w:i/>
          <w:iCs/>
        </w:rPr>
        <w:t xml:space="preserve">Rural-</w:t>
      </w:r>
      <w:r>
        <w:rPr>
          <w:i/>
          <w:iCs/>
        </w:rPr>
        <w:t xml:space="preserve">Urban Commuting Area Codes</w:t>
      </w:r>
      <w:r>
        <w:rPr>
          <w:i/>
          <w:iCs/>
        </w:rPr>
        <w:t xml:space="preserve"> </w:t>
      </w:r>
      <w:r>
        <w:rPr>
          <w:i/>
          <w:iCs/>
        </w:rPr>
        <w:t xml:space="preserve">-</w:t>
      </w:r>
      <w:r>
        <w:rPr>
          <w:i/>
          <w:iCs/>
        </w:rPr>
        <w:t xml:space="preserve"> </w:t>
      </w:r>
      <w:r>
        <w:rPr>
          <w:i/>
          <w:iCs/>
        </w:rPr>
        <w:t xml:space="preserve">Users</w:t>
      </w:r>
      <w:r>
        <w:rPr>
          <w:i/>
          <w:iCs/>
        </w:rPr>
        <w:t xml:space="preserve">’</w:t>
      </w:r>
      <w:r>
        <w:rPr>
          <w:i/>
          <w:iCs/>
        </w:rPr>
        <w:t xml:space="preserve"> </w:t>
      </w:r>
      <w:r>
        <w:rPr>
          <w:i/>
          <w:iCs/>
        </w:rPr>
        <w:t xml:space="preserve">Guide</w:t>
      </w:r>
      <w:r>
        <w:rPr>
          <w:i/>
          <w:iCs/>
        </w:rPr>
        <w:t xml:space="preserve"> </w:t>
      </w:r>
      <w:r>
        <w:rPr>
          <w:i/>
          <w:iCs/>
        </w:rPr>
        <w:t xml:space="preserve"> </w:t>
      </w:r>
      <w:r>
        <w:rPr>
          <w:i/>
          <w:iCs/>
        </w:rPr>
        <w:t xml:space="preserve">Economic Research Service</w:t>
      </w:r>
      <w:r>
        <w:t xml:space="preserve">, n.d.)</w:t>
      </w:r>
      <w:r>
        <w:t xml:space="preserve">. We followed guidelines from the United States Health Resources and Services Administration and define urban as an area where the primary commuting flow is within a metropolitan core of 50,000 or more people (RUCA code = 1) and rural as anything not urban (RUCA codes 2-10)</w:t>
      </w:r>
      <w:r>
        <w:t xml:space="preserve">(</w:t>
      </w:r>
      <w:r>
        <w:rPr>
          <w:i/>
          <w:iCs/>
        </w:rPr>
        <w:t xml:space="preserve">How</w:t>
      </w:r>
      <w:r>
        <w:rPr>
          <w:i/>
          <w:iCs/>
        </w:rPr>
        <w:t xml:space="preserve"> </w:t>
      </w:r>
      <w:r>
        <w:rPr>
          <w:i/>
          <w:iCs/>
        </w:rPr>
        <w:t xml:space="preserve">We Define Rural</w:t>
      </w:r>
      <w:r>
        <w:rPr>
          <w:i/>
          <w:iCs/>
        </w:rPr>
        <w:t xml:space="preserve"> </w:t>
      </w:r>
      <w:r>
        <w:rPr>
          <w:i/>
          <w:iCs/>
        </w:rPr>
        <w:t xml:space="preserve"> </w:t>
      </w:r>
      <w:r>
        <w:rPr>
          <w:i/>
          <w:iCs/>
        </w:rPr>
        <w:t xml:space="preserve">HRSA</w:t>
      </w:r>
      <w:r>
        <w:t xml:space="preserve">, n.d.)</w:t>
      </w:r>
      <w:r>
        <w:t xml:space="preserve">.</w:t>
      </w:r>
    </w:p>
    <w:p>
      <w:pPr>
        <w:pStyle w:val="BodyText"/>
      </w:pPr>
      <w:r>
        <w:t xml:space="preserve">We also collected information about OUD history to characterize OUD severity and recovery stability, including self-reported DSM-5 OUD symptoms, recovery satisfaction, motivation, and confidence, whether they intended to avoid using other drugs, perceived efficacy of their MOUD medication, past month opioid use, past month residential treatment for OUD, past month receipt of psychiatric medication, frequency of counseling sessions and self-help meetings in the past month, preferred opioid, preferred route of administration, and lifetime history of overdose. As part of the aims of the parent project, we collected many other trait and state measures throughout the study. A complete list of all measures can be found in our registered report</w:t>
      </w:r>
      <w:r>
        <w:t xml:space="preserve"> </w:t>
      </w:r>
      <w:r>
        <w:t xml:space="preserve">(Moshontz et al., 2021)</w:t>
      </w:r>
      <w:r>
        <w:t xml:space="preserve">.</w:t>
      </w:r>
    </w:p>
    <w:bookmarkEnd w:id="28"/>
    <w:bookmarkStart w:id="29" w:name="ecological-momentary-assessment"/>
    <w:p>
      <w:pPr>
        <w:pStyle w:val="Heading3"/>
      </w:pPr>
      <w:r>
        <w:t xml:space="preserve">Ecological Momentary Assessment</w:t>
      </w:r>
    </w:p>
    <w:p>
      <w:pPr>
        <w:pStyle w:val="FirstParagraph"/>
      </w:pPr>
      <w:r>
        <w:t xml:space="preserve">Participants completed a brief (1-2 minute) EMA each day on study through the STAR app. The EMA became available in the app at 5:00 AM CST each morning and participants had 24 hours to complete it. Participants could enable push notifications for reminder prompts to complete the assessment. Each EMA had 16-items that asked participants to report the date and time of any recent opioid use for nonmedical reasons not yet reported. These reports served as the primary outcome for the lapse risk prediction model. Participants also reported any other drugs that they had used in the past 24 hours by selecting all that apply from a list of substance categories. Other items asked about mood, pain, sleep quality, urges to use opioids, risky situations, stressful and pleasant events, and MOUD adherence in the past 24 hours. The EMA concluded with 2 forward-facing items that asked about participants’ motivation and confidence to continue to avoid using opioids for nonmedical reasons over the next week.</w:t>
      </w:r>
    </w:p>
    <w:bookmarkEnd w:id="29"/>
    <w:bookmarkStart w:id="30" w:name="geolocation-sensing"/>
    <w:p>
      <w:pPr>
        <w:pStyle w:val="Heading3"/>
      </w:pPr>
      <w:r>
        <w:t xml:space="preserve">Geolocation Sensing</w:t>
      </w:r>
    </w:p>
    <w:p>
      <w:pPr>
        <w:pStyle w:val="FirstParagraph"/>
      </w:pPr>
      <w:r>
        <w:t xml:space="preserve">The STAR app passively recorded participants’ time-stamped geolocations (i.e., latitude and longitude) every 1.5-15 minutes, depending on their movement. We augmented the geolocation data with self-reported subjective contexts. On each monthly survey we asked a set of 6 questions about frequently visited locations (i.e., spending more than 3 minutes at a location 2 or more times in a month) from the previous month. Participants were asked to describe the type of place, what they typically do there, the general frequency of pleasant and unpleasant experiences associated with the place, and the extent to which spending time there supports or undermines their recovery.</w:t>
      </w:r>
    </w:p>
    <w:bookmarkEnd w:id="30"/>
    <w:bookmarkEnd w:id="31"/>
    <w:bookmarkStart w:id="38" w:name="data-analytic-strategy"/>
    <w:p>
      <w:pPr>
        <w:pStyle w:val="Heading2"/>
      </w:pPr>
      <w:r>
        <w:t xml:space="preserve">Data Analytic Strategy</w:t>
      </w:r>
    </w:p>
    <w:p>
      <w:pPr>
        <w:pStyle w:val="FirstParagraph"/>
      </w:pPr>
      <w:r>
        <w:t xml:space="preserve">Data preprocessing, modeling, and Bayesian analyses were done in R using the tidymodels ecosystem</w:t>
      </w:r>
      <w:r>
        <w:t xml:space="preserve"> </w:t>
      </w:r>
      <w:r>
        <w:t xml:space="preserve">(Goodrich et al., 2023; Kuhn, 2022; Kuhn &amp; Wickham, 2020)</w:t>
      </w:r>
      <w:r>
        <w:t xml:space="preserve">. Models were trained and evaluated using high-throughput computing resources provided by the University of Wisconsin Center for High Throughput Computing</w:t>
      </w:r>
      <w:r>
        <w:t xml:space="preserve"> </w:t>
      </w:r>
      <w:r>
        <w:t xml:space="preserve">(Center for High Throughput Computing, 2006)</w:t>
      </w:r>
      <w:r>
        <w:t xml:space="preserve">.</w:t>
      </w:r>
    </w:p>
    <w:bookmarkStart w:id="32" w:name="feature-engineering"/>
    <w:p>
      <w:pPr>
        <w:pStyle w:val="Heading3"/>
      </w:pPr>
      <w:r>
        <w:t xml:space="preserve">Feature Engineering</w:t>
      </w:r>
    </w:p>
    <w:p>
      <w:pPr>
        <w:pStyle w:val="FirstParagraph"/>
      </w:pPr>
      <w:r>
        <w:t xml:space="preserve">Features were engineered from two types of data:</w:t>
      </w:r>
    </w:p>
    <w:p>
      <w:pPr>
        <w:numPr>
          <w:ilvl w:val="0"/>
          <w:numId w:val="1003"/>
        </w:numPr>
      </w:pPr>
      <w:r>
        <w:t xml:space="preserve">Static individual differences in demographic and OUD characteristics.</w:t>
      </w:r>
    </w:p>
    <w:p>
      <w:pPr>
        <w:numPr>
          <w:ilvl w:val="0"/>
          <w:numId w:val="1003"/>
        </w:numPr>
      </w:pPr>
      <w:r>
        <w:t xml:space="preserve">Dynamic EMA and geolocation sensing data.</w:t>
      </w:r>
    </w:p>
    <w:p>
      <w:pPr>
        <w:pStyle w:val="Compact"/>
        <w:numPr>
          <w:ilvl w:val="0"/>
          <w:numId w:val="1004"/>
        </w:numPr>
      </w:pPr>
      <w:r>
        <w:t xml:space="preserve">geolocation - within 50 meters of a known location</w:t>
      </w:r>
    </w:p>
    <w:p>
      <w:pPr>
        <w:pStyle w:val="FirstParagraph"/>
      </w:pPr>
      <w:r>
        <w:t xml:space="preserve">We imputed missing data using median imputation for numeric features and mode imputation for nominal features. We selected coarse median/mode methods for handling missing data due to the computational costs associated with more advanced forms of imputation (e.g., KNN imputation, multiple imputation). Importantly, our imputation calculations are done using only held-in data and can be applied to any new observation.</w:t>
      </w:r>
      <w:r>
        <w:t xml:space="preserve"> </w:t>
      </w:r>
    </w:p>
    <w:bookmarkEnd w:id="32"/>
    <w:bookmarkStart w:id="33" w:name="prediction-windows-and-labels"/>
    <w:p>
      <w:pPr>
        <w:pStyle w:val="Heading3"/>
      </w:pPr>
      <w:r>
        <w:t xml:space="preserve">Prediction Windows and Labels</w:t>
      </w:r>
    </w:p>
    <w:p>
      <w:pPr>
        <w:pStyle w:val="Compact"/>
        <w:numPr>
          <w:ilvl w:val="0"/>
          <w:numId w:val="1005"/>
        </w:numPr>
      </w:pPr>
      <w:r>
        <w:t xml:space="preserve">Window starts 6am in participants own timezone (derived from gps)</w:t>
      </w:r>
    </w:p>
    <w:bookmarkEnd w:id="33"/>
    <w:bookmarkStart w:id="34" w:name="model-selection"/>
    <w:p>
      <w:pPr>
        <w:pStyle w:val="Heading3"/>
      </w:pPr>
      <w:r>
        <w:t xml:space="preserve">Model Selection</w:t>
      </w:r>
    </w:p>
    <w:p>
      <w:pPr>
        <w:pStyle w:val="FirstParagraph"/>
      </w:pPr>
      <w:r>
        <w:t xml:space="preserve">Our performance metric for model selection and evaluation was area under the Receiver Operating Characteristic curve (auROC).</w:t>
      </w:r>
      <w:r>
        <w:t xml:space="preserve"> </w:t>
      </w:r>
      <w:r>
        <w:t xml:space="preserve">.</w:t>
      </w:r>
    </w:p>
    <w:p>
      <w:pPr>
        <w:pStyle w:val="BodyText"/>
      </w:pPr>
      <w:r>
        <w:t xml:space="preserve">The best model configuration was selected using 6 repeats of participant-grouped 5-fold cross-validation.</w:t>
      </w:r>
      <w:r>
        <w:t xml:space="preserve"> </w:t>
      </w:r>
      <w:r>
        <w:t xml:space="preserve">Folds were stratified by a between-subject measure of our outcome (no lapse vs. any lapse).</w:t>
      </w:r>
    </w:p>
    <w:p>
      <w:pPr>
        <w:pStyle w:val="BodyText"/>
      </w:pPr>
      <w:r>
        <w:t xml:space="preserve">Model configurations differed on:</w:t>
      </w:r>
    </w:p>
    <w:p>
      <w:pPr>
        <w:numPr>
          <w:ilvl w:val="0"/>
          <w:numId w:val="1006"/>
        </w:numPr>
      </w:pPr>
      <w:r>
        <w:t xml:space="preserve">Statistical algorithm (and hyperparameter tuning)</w:t>
      </w:r>
    </w:p>
    <w:p>
      <w:pPr>
        <w:numPr>
          <w:ilvl w:val="0"/>
          <w:numId w:val="1006"/>
        </w:numPr>
      </w:pPr>
      <w:r>
        <w:t xml:space="preserve">Resampling of minority outcome. All resampling was exclusively done with only held-in training data to prevent biasing performance estimates</w:t>
      </w:r>
      <w:r>
        <w:t xml:space="preserve"> </w:t>
      </w:r>
      <w:r>
        <w:t xml:space="preserve">(Vandewiele et al., 2021)</w:t>
      </w:r>
      <w:r>
        <w:t xml:space="preserve">.</w:t>
      </w:r>
    </w:p>
    <w:p>
      <w:pPr>
        <w:pStyle w:val="FirstParagraph"/>
      </w:pPr>
      <w:r>
        <w:t xml:space="preserve">We repeated the above process to select a best baseline model that was limited to features derived from individual differences in demographics and OUD characteristics.</w:t>
      </w:r>
    </w:p>
    <w:bookmarkEnd w:id="34"/>
    <w:bookmarkStart w:id="35" w:name="model-evaluation"/>
    <w:p>
      <w:pPr>
        <w:pStyle w:val="Heading3"/>
      </w:pPr>
      <w:r>
        <w:t xml:space="preserve">Model Evaluation</w:t>
      </w:r>
    </w:p>
    <w:p>
      <w:pPr>
        <w:pStyle w:val="FirstParagraph"/>
      </w:pPr>
      <w:r>
        <w:t xml:space="preserve">We used a Bayesian hierarchical generalized linear model to estimate the posterior distribution and 95% credible intervals (CI) for auROC for the 30 held-out test sets for our best performing model. We used weakly informative, data-dependent priors to regularize and reduce overfitting. Random intercepts were included for repeat and fold (nested within repeat).</w:t>
      </w:r>
    </w:p>
    <w:p>
      <w:pPr>
        <w:pStyle w:val="Compact"/>
        <w:numPr>
          <w:ilvl w:val="0"/>
          <w:numId w:val="1007"/>
        </w:numPr>
      </w:pPr>
      <w:r>
        <w:t xml:space="preserve">Model contrast</w:t>
      </w:r>
    </w:p>
    <w:p>
      <w:pPr>
        <w:pStyle w:val="FirstParagraph"/>
      </w:pPr>
      <w:r>
        <w:t xml:space="preserve">Using the same 30 held-out test sets, we calculated the median posterior probability and 95% Bayesian CI for auROC for each model separately by gender (not male vs. male), race/ethnicity (Hispanic and/or non-White vs. non-Hispanic White), income (below poverty line vs. above poverty line), geographic location (rural vs. urban), and education (high school or less vs. some college). We conducted Bayesian group comparisons to assess the likelihood that each model performs differently by group.</w:t>
      </w:r>
    </w:p>
    <w:p>
      <w:pPr>
        <w:pStyle w:val="Compact"/>
        <w:numPr>
          <w:ilvl w:val="0"/>
          <w:numId w:val="1008"/>
        </w:numPr>
      </w:pPr>
      <w:r>
        <w:t xml:space="preserve">Gender, race/ethnicity, education, income, and geographic location are used for our fariness subgroup analyses. As defined above we defined urban as RUCA code of 1 and rural as RUCA codes 2-10. Given that there is not a clear consensus on delineating urban vs. rural, however, we also report a fairness model comparison for urban as RUCA codes 1-2 and urban as RUCA coddes 3-10 in the supplement.</w:t>
      </w:r>
    </w:p>
    <w:bookmarkEnd w:id="35"/>
    <w:bookmarkStart w:id="36" w:name="calibration"/>
    <w:p>
      <w:pPr>
        <w:pStyle w:val="Heading3"/>
      </w:pPr>
      <w:r>
        <w:t xml:space="preserve">Calibration</w:t>
      </w:r>
    </w:p>
    <w:p>
      <w:pPr>
        <w:pStyle w:val="FirstParagraph"/>
      </w:pPr>
      <w:r>
        <w:t xml:space="preserve">We calibrated our probabilities using Platt scaling. We calculated Brier scores to assess the accuracy of our raw and calibrated probabilities for our best model. Brier scores range from 0 (perfect accuracy) to 1 (perfect inaccuracy). We provide calibration plots for the raw and calibrated probabilities in the manuscript and histograms of predicted probabilities by true lapse outcome in the supplement.</w:t>
      </w:r>
    </w:p>
    <w:bookmarkEnd w:id="36"/>
    <w:bookmarkStart w:id="37" w:name="feature-importance"/>
    <w:p>
      <w:pPr>
        <w:pStyle w:val="Heading3"/>
      </w:pPr>
      <w:r>
        <w:t xml:space="preserve">Feature Importance</w:t>
      </w:r>
    </w:p>
    <w:bookmarkEnd w:id="37"/>
    <w:bookmarkEnd w:id="38"/>
    <w:bookmarkEnd w:id="39"/>
    <w:bookmarkStart w:id="66" w:name="results"/>
    <w:p>
      <w:pPr>
        <w:pStyle w:val="Heading1"/>
      </w:pPr>
      <w:r>
        <w:t xml:space="preserve">Results</w:t>
      </w:r>
    </w:p>
    <w:bookmarkStart w:id="43" w:name="participants-1"/>
    <w:p>
      <w:pPr>
        <w:pStyle w:val="Heading2"/>
      </w:pPr>
      <w:r>
        <w:t xml:space="preserve">Participants</w:t>
      </w:r>
    </w:p>
    <w:p>
      <w:pPr>
        <w:pStyle w:val="FirstParagraph"/>
      </w:pPr>
      <w:r>
        <w:t xml:space="preserve">We recruited 451 participants across 47 states in the United States from April 2021 through December 2024. A total of 336 participants were eligible, consented, and remained on study for at least one month. Of these, 11 participants were excluded due to unusually low adherence</w:t>
      </w:r>
      <w:r>
        <w:rPr>
          <w:rStyle w:val="FootnoteReference"/>
        </w:rPr>
        <w:footnoteReference w:id="40"/>
      </w:r>
      <w:r>
        <w:t xml:space="preserve">, 13 participants were excluded due to insufficient context data for geolocation points</w:t>
      </w:r>
      <w:r>
        <w:rPr>
          <w:rStyle w:val="FootnoteReference"/>
        </w:rPr>
        <w:footnoteReference w:id="41"/>
      </w:r>
      <w:r>
        <w:t xml:space="preserve">, 1 participant was excluded due to geolocation data indicating they were not residing in the United States, 10 participants were excluded due to evidence of careless responding on EMAs. Our final analysis sample consisted of 300 participants. Participant demographic and OUD characteristics is presented in</w:t>
      </w:r>
      <w:r>
        <w:t xml:space="preserve"> </w:t>
      </w:r>
      <w:hyperlink w:anchor="tbl-1">
        <w:r>
          <w:rPr>
            <w:rStyle w:val="Hyperlink"/>
          </w:rPr>
          <w:t xml:space="preserve">Table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2" w:name="tbl-1"/>
          <w:p>
            <w:pPr>
              <w:jc w:val="center"/>
            </w:pPr>
            <w:pPr>
              <w:jc w:val="start"/>
              <w:spacing w:before="200"/>
              <w:pStyle w:val="ImageCaption"/>
            </w:pPr>
            <w:r>
              <w:t xml:space="preserve">Table 1: Demographic and Clinical Characteristics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p>
              </w:tc>
              <w:tc>
                <w:tcPr/>
                <w:p>
                  <w:pPr>
                    <w:pStyle w:val="Compact"/>
                    <w:jc w:val="right"/>
                    <w:jc w:val="center"/>
                  </w:pPr>
                  <w:r>
                    <w:t xml:space="preserve">N</w:t>
                  </w:r>
                </w:p>
              </w:tc>
              <w:tc>
                <w:tcPr/>
                <w:p>
                  <w:pPr>
                    <w:pStyle w:val="Compact"/>
                    <w:jc w:val="right"/>
                    <w:jc w:val="center"/>
                  </w:pPr>
                  <w:r>
                    <w:t xml:space="preserve">%</w:t>
                  </w:r>
                </w:p>
              </w:tc>
            </w:tr>
            <w:tr>
              <w:tc>
                <w:tcPr/>
                <w:p>
                  <w:pPr>
                    <w:pStyle w:val="Compact"/>
                    <w:jc w:val="left"/>
                    <w:jc w:val="center"/>
                  </w:pPr>
                  <w:r>
                    <w:t xml:space="preserve">Age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18-21</w:t>
                  </w:r>
                </w:p>
              </w:tc>
              <w:tc>
                <w:tcPr/>
                <w:p>
                  <w:pPr>
                    <w:pStyle w:val="Compact"/>
                    <w:jc w:val="right"/>
                    <w:jc w:val="center"/>
                  </w:pPr>
                  <w:r>
                    <w:t xml:space="preserve">2</w:t>
                  </w:r>
                </w:p>
              </w:tc>
              <w:tc>
                <w:tcPr/>
                <w:p>
                  <w:pPr>
                    <w:pStyle w:val="Compact"/>
                    <w:jc w:val="right"/>
                    <w:jc w:val="center"/>
                  </w:pPr>
                  <w:r>
                    <w:t xml:space="preserve">0.7</w:t>
                  </w:r>
                </w:p>
              </w:tc>
            </w:tr>
            <w:tr>
              <w:tc>
                <w:tcPr/>
                <w:p>
                  <w:pPr>
                    <w:pStyle w:val="Compact"/>
                    <w:jc w:val="left"/>
                    <w:jc w:val="center"/>
                  </w:pPr>
                  <w:r>
                    <w:t xml:space="preserve">22-25</w:t>
                  </w:r>
                </w:p>
              </w:tc>
              <w:tc>
                <w:tcPr/>
                <w:p>
                  <w:pPr>
                    <w:pStyle w:val="Compact"/>
                    <w:jc w:val="right"/>
                    <w:jc w:val="center"/>
                  </w:pPr>
                  <w:r>
                    <w:t xml:space="preserve">7</w:t>
                  </w:r>
                </w:p>
              </w:tc>
              <w:tc>
                <w:tcPr/>
                <w:p>
                  <w:pPr>
                    <w:pStyle w:val="Compact"/>
                    <w:jc w:val="right"/>
                    <w:jc w:val="center"/>
                  </w:pPr>
                  <w:r>
                    <w:t xml:space="preserve">2.3</w:t>
                  </w:r>
                </w:p>
              </w:tc>
            </w:tr>
            <w:tr>
              <w:tc>
                <w:tcPr/>
                <w:p>
                  <w:pPr>
                    <w:pStyle w:val="Compact"/>
                    <w:jc w:val="left"/>
                    <w:jc w:val="center"/>
                  </w:pPr>
                  <w:r>
                    <w:t xml:space="preserve">26-35</w:t>
                  </w:r>
                </w:p>
              </w:tc>
              <w:tc>
                <w:tcPr/>
                <w:p>
                  <w:pPr>
                    <w:pStyle w:val="Compact"/>
                    <w:jc w:val="right"/>
                    <w:jc w:val="center"/>
                  </w:pPr>
                  <w:r>
                    <w:t xml:space="preserve">108</w:t>
                  </w:r>
                </w:p>
              </w:tc>
              <w:tc>
                <w:tcPr/>
                <w:p>
                  <w:pPr>
                    <w:pStyle w:val="Compact"/>
                    <w:jc w:val="right"/>
                    <w:jc w:val="center"/>
                  </w:pPr>
                  <w:r>
                    <w:t xml:space="preserve">36.0</w:t>
                  </w:r>
                </w:p>
              </w:tc>
            </w:tr>
            <w:tr>
              <w:tc>
                <w:tcPr/>
                <w:p>
                  <w:pPr>
                    <w:pStyle w:val="Compact"/>
                    <w:jc w:val="left"/>
                    <w:jc w:val="center"/>
                  </w:pPr>
                  <w:r>
                    <w:t xml:space="preserve">36-45</w:t>
                  </w:r>
                </w:p>
              </w:tc>
              <w:tc>
                <w:tcPr/>
                <w:p>
                  <w:pPr>
                    <w:pStyle w:val="Compact"/>
                    <w:jc w:val="right"/>
                    <w:jc w:val="center"/>
                  </w:pPr>
                  <w:r>
                    <w:t xml:space="preserve">106</w:t>
                  </w:r>
                </w:p>
              </w:tc>
              <w:tc>
                <w:tcPr/>
                <w:p>
                  <w:pPr>
                    <w:pStyle w:val="Compact"/>
                    <w:jc w:val="right"/>
                    <w:jc w:val="center"/>
                  </w:pPr>
                  <w:r>
                    <w:t xml:space="preserve">35.3</w:t>
                  </w:r>
                </w:p>
              </w:tc>
            </w:tr>
            <w:tr>
              <w:tc>
                <w:tcPr/>
                <w:p>
                  <w:pPr>
                    <w:pStyle w:val="Compact"/>
                    <w:jc w:val="left"/>
                    <w:jc w:val="center"/>
                  </w:pPr>
                  <w:r>
                    <w:t xml:space="preserve">46-55</w:t>
                  </w:r>
                </w:p>
              </w:tc>
              <w:tc>
                <w:tcPr/>
                <w:p>
                  <w:pPr>
                    <w:pStyle w:val="Compact"/>
                    <w:jc w:val="right"/>
                    <w:jc w:val="center"/>
                  </w:pPr>
                  <w:r>
                    <w:t xml:space="preserve">60</w:t>
                  </w:r>
                </w:p>
              </w:tc>
              <w:tc>
                <w:tcPr/>
                <w:p>
                  <w:pPr>
                    <w:pStyle w:val="Compact"/>
                    <w:jc w:val="right"/>
                    <w:jc w:val="center"/>
                  </w:pPr>
                  <w:r>
                    <w:t xml:space="preserve">20.0</w:t>
                  </w:r>
                </w:p>
              </w:tc>
            </w:tr>
            <w:tr>
              <w:tc>
                <w:tcPr/>
                <w:p>
                  <w:pPr>
                    <w:pStyle w:val="Compact"/>
                    <w:jc w:val="left"/>
                    <w:jc w:val="center"/>
                  </w:pPr>
                  <w:r>
                    <w:t xml:space="preserve">56-65</w:t>
                  </w:r>
                </w:p>
              </w:tc>
              <w:tc>
                <w:tcPr/>
                <w:p>
                  <w:pPr>
                    <w:pStyle w:val="Compact"/>
                    <w:jc w:val="right"/>
                    <w:jc w:val="center"/>
                  </w:pPr>
                  <w:r>
                    <w:t xml:space="preserve">13</w:t>
                  </w:r>
                </w:p>
              </w:tc>
              <w:tc>
                <w:tcPr/>
                <w:p>
                  <w:pPr>
                    <w:pStyle w:val="Compact"/>
                    <w:jc w:val="right"/>
                    <w:jc w:val="center"/>
                  </w:pPr>
                  <w:r>
                    <w:t xml:space="preserve">4.3</w:t>
                  </w:r>
                </w:p>
              </w:tc>
            </w:tr>
            <w:tr>
              <w:tc>
                <w:tcPr/>
                <w:p>
                  <w:pPr>
                    <w:pStyle w:val="Compact"/>
                    <w:jc w:val="left"/>
                    <w:jc w:val="center"/>
                  </w:pPr>
                  <w:r>
                    <w:t xml:space="preserve">Over 65</w:t>
                  </w:r>
                </w:p>
              </w:tc>
              <w:tc>
                <w:tcPr/>
                <w:p>
                  <w:pPr>
                    <w:pStyle w:val="Compact"/>
                    <w:jc w:val="right"/>
                    <w:jc w:val="center"/>
                  </w:pPr>
                  <w:r>
                    <w:t xml:space="preserve">4</w:t>
                  </w:r>
                </w:p>
              </w:tc>
              <w:tc>
                <w:tcPr/>
                <w:p>
                  <w:pPr>
                    <w:pStyle w:val="Compact"/>
                    <w:jc w:val="right"/>
                    <w:jc w:val="center"/>
                  </w:pPr>
                  <w:r>
                    <w:t xml:space="preserve">1.3</w:t>
                  </w:r>
                </w:p>
              </w:tc>
            </w:tr>
            <w:tr>
              <w:tc>
                <w:tcPr/>
                <w:p>
                  <w:pPr>
                    <w:pStyle w:val="Compact"/>
                    <w:jc w:val="left"/>
                    <w:jc w:val="center"/>
                  </w:pPr>
                  <w:r>
                    <w:t xml:space="preserve">Gender</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Man</w:t>
                  </w:r>
                </w:p>
              </w:tc>
              <w:tc>
                <w:tcPr/>
                <w:p>
                  <w:pPr>
                    <w:pStyle w:val="Compact"/>
                    <w:jc w:val="right"/>
                    <w:jc w:val="center"/>
                  </w:pPr>
                  <w:r>
                    <w:t xml:space="preserve">158</w:t>
                  </w:r>
                </w:p>
              </w:tc>
              <w:tc>
                <w:tcPr/>
                <w:p>
                  <w:pPr>
                    <w:pStyle w:val="Compact"/>
                    <w:jc w:val="right"/>
                    <w:jc w:val="center"/>
                  </w:pPr>
                  <w:r>
                    <w:t xml:space="preserve">52.7</w:t>
                  </w:r>
                </w:p>
              </w:tc>
            </w:tr>
            <w:tr>
              <w:tc>
                <w:tcPr/>
                <w:p>
                  <w:pPr>
                    <w:pStyle w:val="Compact"/>
                    <w:jc w:val="left"/>
                    <w:jc w:val="center"/>
                  </w:pPr>
                  <w:r>
                    <w:t xml:space="preserve">Woman</w:t>
                  </w:r>
                </w:p>
              </w:tc>
              <w:tc>
                <w:tcPr/>
                <w:p>
                  <w:pPr>
                    <w:pStyle w:val="Compact"/>
                    <w:jc w:val="right"/>
                    <w:jc w:val="center"/>
                  </w:pPr>
                  <w:r>
                    <w:t xml:space="preserve">135</w:t>
                  </w:r>
                </w:p>
              </w:tc>
              <w:tc>
                <w:tcPr/>
                <w:p>
                  <w:pPr>
                    <w:pStyle w:val="Compact"/>
                    <w:jc w:val="right"/>
                    <w:jc w:val="center"/>
                  </w:pPr>
                  <w:r>
                    <w:t xml:space="preserve">45.0</w:t>
                  </w:r>
                </w:p>
              </w:tc>
            </w:tr>
            <w:tr>
              <w:tc>
                <w:tcPr/>
                <w:p>
                  <w:pPr>
                    <w:pStyle w:val="Compact"/>
                    <w:jc w:val="left"/>
                    <w:jc w:val="center"/>
                  </w:pPr>
                  <w:r>
                    <w:t xml:space="preserve">Non-binary</w:t>
                  </w:r>
                </w:p>
              </w:tc>
              <w:tc>
                <w:tcPr/>
                <w:p>
                  <w:pPr>
                    <w:pStyle w:val="Compact"/>
                    <w:jc w:val="right"/>
                    <w:jc w:val="center"/>
                  </w:pPr>
                  <w:r>
                    <w:t xml:space="preserve">4</w:t>
                  </w:r>
                </w:p>
              </w:tc>
              <w:tc>
                <w:tcPr/>
                <w:p>
                  <w:pPr>
                    <w:pStyle w:val="Compact"/>
                    <w:jc w:val="right"/>
                    <w:jc w:val="center"/>
                  </w:pPr>
                  <w:r>
                    <w:t xml:space="preserve">1.3</w:t>
                  </w:r>
                </w:p>
              </w:tc>
            </w:tr>
            <w:tr>
              <w:tc>
                <w:tcPr/>
                <w:p>
                  <w:pPr>
                    <w:pStyle w:val="Compact"/>
                    <w:jc w:val="left"/>
                    <w:jc w:val="center"/>
                  </w:pPr>
                  <w:r>
                    <w:t xml:space="preserve">Not listed above</w:t>
                  </w:r>
                </w:p>
              </w:tc>
              <w:tc>
                <w:tcPr/>
                <w:p>
                  <w:pPr>
                    <w:pStyle w:val="Compact"/>
                    <w:jc w:val="right"/>
                    <w:jc w:val="center"/>
                  </w:pPr>
                  <w:r>
                    <w:t xml:space="preserve">2</w:t>
                  </w:r>
                </w:p>
              </w:tc>
              <w:tc>
                <w:tcPr/>
                <w:p>
                  <w:pPr>
                    <w:pStyle w:val="Compact"/>
                    <w:jc w:val="right"/>
                    <w:jc w:val="center"/>
                  </w:pPr>
                  <w:r>
                    <w:t xml:space="preserve">0.7</w:t>
                  </w:r>
                </w:p>
              </w:tc>
            </w:tr>
            <w:tr>
              <w:tc>
                <w:tcPr/>
                <w:p>
                  <w:pPr>
                    <w:pStyle w:val="Compact"/>
                    <w:jc w:val="left"/>
                    <w:jc w:val="center"/>
                  </w:pPr>
                  <w:r>
                    <w:t xml:space="preserve">Orientation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Straight, that is, not gay or lesbian</w:t>
                  </w:r>
                </w:p>
              </w:tc>
              <w:tc>
                <w:tcPr/>
                <w:p>
                  <w:pPr>
                    <w:pStyle w:val="Compact"/>
                    <w:jc w:val="right"/>
                    <w:jc w:val="center"/>
                  </w:pPr>
                  <w:r>
                    <w:t xml:space="preserve">238</w:t>
                  </w:r>
                </w:p>
              </w:tc>
              <w:tc>
                <w:tcPr/>
                <w:p>
                  <w:pPr>
                    <w:pStyle w:val="Compact"/>
                    <w:jc w:val="right"/>
                    <w:jc w:val="center"/>
                  </w:pPr>
                  <w:r>
                    <w:t xml:space="preserve">79.3</w:t>
                  </w:r>
                </w:p>
              </w:tc>
            </w:tr>
            <w:tr>
              <w:tc>
                <w:tcPr/>
                <w:p>
                  <w:pPr>
                    <w:pStyle w:val="Compact"/>
                    <w:jc w:val="left"/>
                    <w:jc w:val="center"/>
                  </w:pPr>
                  <w:r>
                    <w:t xml:space="preserve">Lesbian or gay</w:t>
                  </w:r>
                </w:p>
              </w:tc>
              <w:tc>
                <w:tcPr/>
                <w:p>
                  <w:pPr>
                    <w:pStyle w:val="Compact"/>
                    <w:jc w:val="right"/>
                    <w:jc w:val="center"/>
                  </w:pPr>
                  <w:r>
                    <w:t xml:space="preserve">16</w:t>
                  </w:r>
                </w:p>
              </w:tc>
              <w:tc>
                <w:tcPr/>
                <w:p>
                  <w:pPr>
                    <w:pStyle w:val="Compact"/>
                    <w:jc w:val="right"/>
                    <w:jc w:val="center"/>
                  </w:pPr>
                  <w:r>
                    <w:t xml:space="preserve">5.3</w:t>
                  </w:r>
                </w:p>
              </w:tc>
            </w:tr>
            <w:tr>
              <w:tc>
                <w:tcPr/>
                <w:p>
                  <w:pPr>
                    <w:pStyle w:val="Compact"/>
                    <w:jc w:val="left"/>
                    <w:jc w:val="center"/>
                  </w:pPr>
                  <w:r>
                    <w:t xml:space="preserve">Bisexual</w:t>
                  </w:r>
                </w:p>
              </w:tc>
              <w:tc>
                <w:tcPr/>
                <w:p>
                  <w:pPr>
                    <w:pStyle w:val="Compact"/>
                    <w:jc w:val="right"/>
                    <w:jc w:val="center"/>
                  </w:pPr>
                  <w:r>
                    <w:t xml:space="preserve">39</w:t>
                  </w:r>
                </w:p>
              </w:tc>
              <w:tc>
                <w:tcPr/>
                <w:p>
                  <w:pPr>
                    <w:pStyle w:val="Compact"/>
                    <w:jc w:val="right"/>
                    <w:jc w:val="center"/>
                  </w:pPr>
                  <w:r>
                    <w:t xml:space="preserve">13.0</w:t>
                  </w:r>
                </w:p>
              </w:tc>
            </w:tr>
            <w:tr>
              <w:tc>
                <w:tcPr/>
                <w:p>
                  <w:pPr>
                    <w:pStyle w:val="Compact"/>
                    <w:jc w:val="left"/>
                    <w:jc w:val="center"/>
                  </w:pPr>
                  <w:r>
                    <w:t xml:space="preserve">Not sure</w:t>
                  </w:r>
                </w:p>
              </w:tc>
              <w:tc>
                <w:tcPr/>
                <w:p>
                  <w:pPr>
                    <w:pStyle w:val="Compact"/>
                    <w:jc w:val="right"/>
                    <w:jc w:val="center"/>
                  </w:pPr>
                  <w:r>
                    <w:t xml:space="preserve">1</w:t>
                  </w:r>
                </w:p>
              </w:tc>
              <w:tc>
                <w:tcPr/>
                <w:p>
                  <w:pPr>
                    <w:pStyle w:val="Compact"/>
                    <w:jc w:val="right"/>
                    <w:jc w:val="center"/>
                  </w:pPr>
                  <w:r>
                    <w:t xml:space="preserve">0.3</w:t>
                  </w:r>
                </w:p>
              </w:tc>
            </w:tr>
            <w:tr>
              <w:tc>
                <w:tcPr/>
                <w:p>
                  <w:pPr>
                    <w:pStyle w:val="Compact"/>
                    <w:jc w:val="left"/>
                    <w:jc w:val="center"/>
                  </w:pPr>
                  <w:r>
                    <w:t xml:space="preserve">Not listed above</w:t>
                  </w:r>
                </w:p>
              </w:tc>
              <w:tc>
                <w:tcPr/>
                <w:p>
                  <w:pPr>
                    <w:pStyle w:val="Compact"/>
                    <w:jc w:val="right"/>
                    <w:jc w:val="center"/>
                  </w:pPr>
                  <w:r>
                    <w:t xml:space="preserve">4</w:t>
                  </w:r>
                </w:p>
              </w:tc>
              <w:tc>
                <w:tcPr/>
                <w:p>
                  <w:pPr>
                    <w:pStyle w:val="Compact"/>
                    <w:jc w:val="right"/>
                    <w:jc w:val="center"/>
                  </w:pPr>
                  <w:r>
                    <w:t xml:space="preserve">1.3</w:t>
                  </w:r>
                </w:p>
              </w:tc>
            </w:tr>
            <w:tr>
              <w:tc>
                <w:tcPr/>
                <w:p>
                  <w:pPr>
                    <w:pStyle w:val="Compact"/>
                    <w:jc w:val="left"/>
                    <w:jc w:val="center"/>
                  </w:pPr>
                  <w:r>
                    <w:t xml:space="preserve">Race and Ethnicity (select all that apply)</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American Indian/Alaskan Native</w:t>
                  </w:r>
                </w:p>
              </w:tc>
              <w:tc>
                <w:tcPr/>
                <w:p>
                  <w:pPr>
                    <w:pStyle w:val="Compact"/>
                    <w:jc w:val="right"/>
                    <w:jc w:val="center"/>
                  </w:pPr>
                  <w:r>
                    <w:t xml:space="preserve">17</w:t>
                  </w:r>
                </w:p>
              </w:tc>
              <w:tc>
                <w:tcPr/>
                <w:p>
                  <w:pPr>
                    <w:pStyle w:val="Compact"/>
                    <w:jc w:val="right"/>
                    <w:jc w:val="center"/>
                  </w:pPr>
                  <w:r>
                    <w:t xml:space="preserve">5.7</w:t>
                  </w:r>
                </w:p>
              </w:tc>
            </w:tr>
            <w:tr>
              <w:tc>
                <w:tcPr/>
                <w:p>
                  <w:pPr>
                    <w:pStyle w:val="Compact"/>
                    <w:jc w:val="left"/>
                    <w:jc w:val="center"/>
                  </w:pPr>
                  <w:r>
                    <w:t xml:space="preserve">Asian</w:t>
                  </w:r>
                </w:p>
              </w:tc>
              <w:tc>
                <w:tcPr/>
                <w:p>
                  <w:pPr>
                    <w:pStyle w:val="Compact"/>
                    <w:jc w:val="right"/>
                    <w:jc w:val="center"/>
                  </w:pPr>
                  <w:r>
                    <w:t xml:space="preserve">4</w:t>
                  </w:r>
                </w:p>
              </w:tc>
              <w:tc>
                <w:tcPr/>
                <w:p>
                  <w:pPr>
                    <w:pStyle w:val="Compact"/>
                    <w:jc w:val="right"/>
                    <w:jc w:val="center"/>
                  </w:pPr>
                  <w:r>
                    <w:t xml:space="preserve">1.3</w:t>
                  </w:r>
                </w:p>
              </w:tc>
            </w:tr>
            <w:tr>
              <w:tc>
                <w:tcPr/>
                <w:p>
                  <w:pPr>
                    <w:pStyle w:val="Compact"/>
                    <w:jc w:val="left"/>
                    <w:jc w:val="center"/>
                  </w:pPr>
                  <w:r>
                    <w:t xml:space="preserve">Black/African American</w:t>
                  </w:r>
                </w:p>
              </w:tc>
              <w:tc>
                <w:tcPr/>
                <w:p>
                  <w:pPr>
                    <w:pStyle w:val="Compact"/>
                    <w:jc w:val="right"/>
                    <w:jc w:val="center"/>
                  </w:pPr>
                  <w:r>
                    <w:t xml:space="preserve">44</w:t>
                  </w:r>
                </w:p>
              </w:tc>
              <w:tc>
                <w:tcPr/>
                <w:p>
                  <w:pPr>
                    <w:pStyle w:val="Compact"/>
                    <w:jc w:val="right"/>
                    <w:jc w:val="center"/>
                  </w:pPr>
                  <w:r>
                    <w:t xml:space="preserve">14.7</w:t>
                  </w:r>
                </w:p>
              </w:tc>
            </w:tr>
            <w:tr>
              <w:tc>
                <w:tcPr/>
                <w:p>
                  <w:pPr>
                    <w:pStyle w:val="Compact"/>
                    <w:jc w:val="left"/>
                    <w:jc w:val="center"/>
                  </w:pPr>
                  <w:r>
                    <w:t xml:space="preserve">Native Hawaiian/Other Pacific Islander</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White/Caucasian</w:t>
                  </w:r>
                </w:p>
              </w:tc>
              <w:tc>
                <w:tcPr/>
                <w:p>
                  <w:pPr>
                    <w:pStyle w:val="Compact"/>
                    <w:jc w:val="right"/>
                    <w:jc w:val="center"/>
                  </w:pPr>
                  <w:r>
                    <w:t xml:space="preserve">237</w:t>
                  </w:r>
                </w:p>
              </w:tc>
              <w:tc>
                <w:tcPr/>
                <w:p>
                  <w:pPr>
                    <w:pStyle w:val="Compact"/>
                    <w:jc w:val="right"/>
                    <w:jc w:val="center"/>
                  </w:pPr>
                  <w:r>
                    <w:t xml:space="preserve">79.0</w:t>
                  </w:r>
                </w:p>
              </w:tc>
            </w:tr>
            <w:tr>
              <w:tc>
                <w:tcPr/>
                <w:p>
                  <w:pPr>
                    <w:pStyle w:val="Compact"/>
                    <w:jc w:val="left"/>
                    <w:jc w:val="center"/>
                  </w:pPr>
                  <w:r>
                    <w:t xml:space="preserve">Hispanic, Latino, or Spanish origin</w:t>
                  </w:r>
                </w:p>
              </w:tc>
              <w:tc>
                <w:tcPr/>
                <w:p>
                  <w:pPr>
                    <w:pStyle w:val="Compact"/>
                    <w:jc w:val="right"/>
                    <w:jc w:val="center"/>
                  </w:pPr>
                  <w:r>
                    <w:t xml:space="preserve">25</w:t>
                  </w:r>
                </w:p>
              </w:tc>
              <w:tc>
                <w:tcPr/>
                <w:p>
                  <w:pPr>
                    <w:pStyle w:val="Compact"/>
                    <w:jc w:val="right"/>
                    <w:jc w:val="center"/>
                  </w:pPr>
                  <w:r>
                    <w:t xml:space="preserve">8.3</w:t>
                  </w:r>
                </w:p>
              </w:tc>
            </w:tr>
            <w:tr>
              <w:tc>
                <w:tcPr/>
                <w:p>
                  <w:pPr>
                    <w:pStyle w:val="Compact"/>
                    <w:jc w:val="left"/>
                    <w:jc w:val="center"/>
                  </w:pPr>
                  <w:r>
                    <w:t xml:space="preserve">Not listed above</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Geographic Location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small town/rural</w:t>
                  </w:r>
                </w:p>
              </w:tc>
              <w:tc>
                <w:tcPr/>
                <w:p>
                  <w:pPr>
                    <w:pStyle w:val="Compact"/>
                    <w:jc w:val="right"/>
                    <w:jc w:val="center"/>
                  </w:pPr>
                  <w:r>
                    <w:t xml:space="preserve">62</w:t>
                  </w:r>
                </w:p>
              </w:tc>
              <w:tc>
                <w:tcPr/>
                <w:p>
                  <w:pPr>
                    <w:pStyle w:val="Compact"/>
                    <w:jc w:val="right"/>
                    <w:jc w:val="center"/>
                  </w:pPr>
                  <w:r>
                    <w:t xml:space="preserve">20.7</w:t>
                  </w:r>
                </w:p>
              </w:tc>
            </w:tr>
            <w:tr>
              <w:tc>
                <w:tcPr/>
                <w:p>
                  <w:pPr>
                    <w:pStyle w:val="Compact"/>
                    <w:jc w:val="left"/>
                    <w:jc w:val="center"/>
                  </w:pPr>
                  <w:r>
                    <w:t xml:space="preserve">urban/suburban</w:t>
                  </w:r>
                </w:p>
              </w:tc>
              <w:tc>
                <w:tcPr/>
                <w:p>
                  <w:pPr>
                    <w:pStyle w:val="Compact"/>
                    <w:jc w:val="right"/>
                    <w:jc w:val="center"/>
                  </w:pPr>
                  <w:r>
                    <w:t xml:space="preserve">274</w:t>
                  </w:r>
                </w:p>
              </w:tc>
              <w:tc>
                <w:tcPr/>
                <w:p>
                  <w:pPr>
                    <w:pStyle w:val="Compact"/>
                    <w:jc w:val="right"/>
                    <w:jc w:val="center"/>
                  </w:pPr>
                  <w:r>
                    <w:t xml:space="preserve">91.3</w:t>
                  </w:r>
                </w:p>
              </w:tc>
            </w:tr>
            <w:tr>
              <w:tc>
                <w:tcPr/>
                <w:p>
                  <w:pPr>
                    <w:pStyle w:val="Compact"/>
                    <w:jc w:val="left"/>
                    <w:jc w:val="center"/>
                  </w:pPr>
                  <w:r>
                    <w:t xml:space="preserve">Education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8th grade or less</w:t>
                  </w:r>
                </w:p>
              </w:tc>
              <w:tc>
                <w:tcPr/>
                <w:p>
                  <w:pPr>
                    <w:pStyle w:val="Compact"/>
                    <w:jc w:val="right"/>
                    <w:jc w:val="center"/>
                  </w:pPr>
                  <w:r>
                    <w:t xml:space="preserve">6</w:t>
                  </w:r>
                </w:p>
              </w:tc>
              <w:tc>
                <w:tcPr/>
                <w:p>
                  <w:pPr>
                    <w:pStyle w:val="Compact"/>
                    <w:jc w:val="right"/>
                    <w:jc w:val="center"/>
                  </w:pPr>
                  <w:r>
                    <w:t xml:space="preserve">2.0</w:t>
                  </w:r>
                </w:p>
              </w:tc>
            </w:tr>
            <w:tr>
              <w:tc>
                <w:tcPr/>
                <w:p>
                  <w:pPr>
                    <w:pStyle w:val="Compact"/>
                    <w:jc w:val="left"/>
                    <w:jc w:val="center"/>
                  </w:pPr>
                  <w:r>
                    <w:t xml:space="preserve">Some high school, but did not graduate</w:t>
                  </w:r>
                </w:p>
              </w:tc>
              <w:tc>
                <w:tcPr/>
                <w:p>
                  <w:pPr>
                    <w:pStyle w:val="Compact"/>
                    <w:jc w:val="right"/>
                    <w:jc w:val="center"/>
                  </w:pPr>
                  <w:r>
                    <w:t xml:space="preserve">25</w:t>
                  </w:r>
                </w:p>
              </w:tc>
              <w:tc>
                <w:tcPr/>
                <w:p>
                  <w:pPr>
                    <w:pStyle w:val="Compact"/>
                    <w:jc w:val="right"/>
                    <w:jc w:val="center"/>
                  </w:pPr>
                  <w:r>
                    <w:t xml:space="preserve">8.3</w:t>
                  </w:r>
                </w:p>
              </w:tc>
            </w:tr>
            <w:tr>
              <w:tc>
                <w:tcPr/>
                <w:p>
                  <w:pPr>
                    <w:pStyle w:val="Compact"/>
                    <w:jc w:val="left"/>
                    <w:jc w:val="center"/>
                  </w:pPr>
                  <w:r>
                    <w:t xml:space="preserve">High school graduate or GED</w:t>
                  </w:r>
                </w:p>
              </w:tc>
              <w:tc>
                <w:tcPr/>
                <w:p>
                  <w:pPr>
                    <w:pStyle w:val="Compact"/>
                    <w:jc w:val="right"/>
                    <w:jc w:val="center"/>
                  </w:pPr>
                  <w:r>
                    <w:t xml:space="preserve">94</w:t>
                  </w:r>
                </w:p>
              </w:tc>
              <w:tc>
                <w:tcPr/>
                <w:p>
                  <w:pPr>
                    <w:pStyle w:val="Compact"/>
                    <w:jc w:val="right"/>
                    <w:jc w:val="center"/>
                  </w:pPr>
                  <w:r>
                    <w:t xml:space="preserve">31.3</w:t>
                  </w:r>
                </w:p>
              </w:tc>
            </w:tr>
            <w:tr>
              <w:tc>
                <w:tcPr/>
                <w:p>
                  <w:pPr>
                    <w:pStyle w:val="Compact"/>
                    <w:jc w:val="left"/>
                    <w:jc w:val="center"/>
                  </w:pPr>
                  <w:r>
                    <w:t xml:space="preserve">Some college or 2-year degree</w:t>
                  </w:r>
                </w:p>
              </w:tc>
              <w:tc>
                <w:tcPr/>
                <w:p>
                  <w:pPr>
                    <w:pStyle w:val="Compact"/>
                    <w:jc w:val="right"/>
                    <w:jc w:val="center"/>
                  </w:pPr>
                  <w:r>
                    <w:t xml:space="preserve">131</w:t>
                  </w:r>
                </w:p>
              </w:tc>
              <w:tc>
                <w:tcPr/>
                <w:p>
                  <w:pPr>
                    <w:pStyle w:val="Compact"/>
                    <w:jc w:val="right"/>
                    <w:jc w:val="center"/>
                  </w:pPr>
                  <w:r>
                    <w:t xml:space="preserve">43.7</w:t>
                  </w:r>
                </w:p>
              </w:tc>
            </w:tr>
            <w:tr>
              <w:tc>
                <w:tcPr/>
                <w:p>
                  <w:pPr>
                    <w:pStyle w:val="Compact"/>
                    <w:jc w:val="left"/>
                    <w:jc w:val="center"/>
                  </w:pPr>
                  <w:r>
                    <w:t xml:space="preserve">4-year college graduate</w:t>
                  </w:r>
                </w:p>
              </w:tc>
              <w:tc>
                <w:tcPr/>
                <w:p>
                  <w:pPr>
                    <w:pStyle w:val="Compact"/>
                    <w:jc w:val="right"/>
                    <w:jc w:val="center"/>
                  </w:pPr>
                  <w:r>
                    <w:t xml:space="preserve">30</w:t>
                  </w:r>
                </w:p>
              </w:tc>
              <w:tc>
                <w:tcPr/>
                <w:p>
                  <w:pPr>
                    <w:pStyle w:val="Compact"/>
                    <w:jc w:val="right"/>
                    <w:jc w:val="center"/>
                  </w:pPr>
                  <w:r>
                    <w:t xml:space="preserve">10.0</w:t>
                  </w:r>
                </w:p>
              </w:tc>
            </w:tr>
            <w:tr>
              <w:tc>
                <w:tcPr/>
                <w:p>
                  <w:pPr>
                    <w:pStyle w:val="Compact"/>
                    <w:jc w:val="left"/>
                    <w:jc w:val="center"/>
                  </w:pPr>
                  <w:r>
                    <w:t xml:space="preserve">More than 4-year or advanced degree</w:t>
                  </w:r>
                </w:p>
              </w:tc>
              <w:tc>
                <w:tcPr/>
                <w:p>
                  <w:pPr>
                    <w:pStyle w:val="Compact"/>
                    <w:jc w:val="right"/>
                    <w:jc w:val="center"/>
                  </w:pPr>
                  <w:r>
                    <w:t xml:space="preserve">12</w:t>
                  </w:r>
                </w:p>
              </w:tc>
              <w:tc>
                <w:tcPr/>
                <w:p>
                  <w:pPr>
                    <w:pStyle w:val="Compact"/>
                    <w:jc w:val="right"/>
                    <w:jc w:val="center"/>
                  </w:pPr>
                  <w:r>
                    <w:t xml:space="preserve">4.0</w:t>
                  </w:r>
                </w:p>
              </w:tc>
            </w:tr>
            <w:tr>
              <w:tc>
                <w:tcPr/>
                <w:p>
                  <w:pPr>
                    <w:pStyle w:val="Compact"/>
                    <w:jc w:val="left"/>
                    <w:jc w:val="center"/>
                  </w:pPr>
                  <w:r>
                    <w:t xml:space="preserve">Employment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Disabled, not able to work</w:t>
                  </w:r>
                </w:p>
              </w:tc>
              <w:tc>
                <w:tcPr/>
                <w:p>
                  <w:pPr>
                    <w:pStyle w:val="Compact"/>
                    <w:jc w:val="right"/>
                    <w:jc w:val="center"/>
                  </w:pPr>
                  <w:r>
                    <w:t xml:space="preserve">33</w:t>
                  </w:r>
                </w:p>
              </w:tc>
              <w:tc>
                <w:tcPr/>
                <w:p>
                  <w:pPr>
                    <w:pStyle w:val="Compact"/>
                    <w:jc w:val="right"/>
                    <w:jc w:val="center"/>
                  </w:pPr>
                  <w:r>
                    <w:t xml:space="preserve">11.0</w:t>
                  </w:r>
                </w:p>
              </w:tc>
            </w:tr>
            <w:tr>
              <w:tc>
                <w:tcPr/>
                <w:p>
                  <w:pPr>
                    <w:pStyle w:val="Compact"/>
                    <w:jc w:val="left"/>
                    <w:jc w:val="center"/>
                  </w:pPr>
                  <w:r>
                    <w:t xml:space="preserve">Employed, working 1-39 hours per week</w:t>
                  </w:r>
                </w:p>
              </w:tc>
              <w:tc>
                <w:tcPr/>
                <w:p>
                  <w:pPr>
                    <w:pStyle w:val="Compact"/>
                    <w:jc w:val="right"/>
                    <w:jc w:val="center"/>
                  </w:pPr>
                  <w:r>
                    <w:t xml:space="preserve">67</w:t>
                  </w:r>
                </w:p>
              </w:tc>
              <w:tc>
                <w:tcPr/>
                <w:p>
                  <w:pPr>
                    <w:pStyle w:val="Compact"/>
                    <w:jc w:val="right"/>
                    <w:jc w:val="center"/>
                  </w:pPr>
                  <w:r>
                    <w:t xml:space="preserve">22.3</w:t>
                  </w:r>
                </w:p>
              </w:tc>
            </w:tr>
            <w:tr>
              <w:tc>
                <w:tcPr/>
                <w:p>
                  <w:pPr>
                    <w:pStyle w:val="Compact"/>
                    <w:jc w:val="left"/>
                    <w:jc w:val="center"/>
                  </w:pPr>
                  <w:r>
                    <w:t xml:space="preserve">Employed, working 40 or more hours per week</w:t>
                  </w:r>
                </w:p>
              </w:tc>
              <w:tc>
                <w:tcPr/>
                <w:p>
                  <w:pPr>
                    <w:pStyle w:val="Compact"/>
                    <w:jc w:val="right"/>
                    <w:jc w:val="center"/>
                  </w:pPr>
                  <w:r>
                    <w:t xml:space="preserve">55</w:t>
                  </w:r>
                </w:p>
              </w:tc>
              <w:tc>
                <w:tcPr/>
                <w:p>
                  <w:pPr>
                    <w:pStyle w:val="Compact"/>
                    <w:jc w:val="right"/>
                    <w:jc w:val="center"/>
                  </w:pPr>
                  <w:r>
                    <w:t xml:space="preserve">18.3</w:t>
                  </w:r>
                </w:p>
              </w:tc>
            </w:tr>
            <w:tr>
              <w:tc>
                <w:tcPr/>
                <w:p>
                  <w:pPr>
                    <w:pStyle w:val="Compact"/>
                    <w:jc w:val="left"/>
                    <w:jc w:val="center"/>
                  </w:pPr>
                  <w:r>
                    <w:t xml:space="preserve">Not employed, NOT looking for work</w:t>
                  </w:r>
                </w:p>
              </w:tc>
              <w:tc>
                <w:tcPr/>
                <w:p>
                  <w:pPr>
                    <w:pStyle w:val="Compact"/>
                    <w:jc w:val="right"/>
                    <w:jc w:val="center"/>
                  </w:pPr>
                  <w:r>
                    <w:t xml:space="preserve">30</w:t>
                  </w:r>
                </w:p>
              </w:tc>
              <w:tc>
                <w:tcPr/>
                <w:p>
                  <w:pPr>
                    <w:pStyle w:val="Compact"/>
                    <w:jc w:val="right"/>
                    <w:jc w:val="center"/>
                  </w:pPr>
                  <w:r>
                    <w:t xml:space="preserve">10.0</w:t>
                  </w:r>
                </w:p>
              </w:tc>
            </w:tr>
            <w:tr>
              <w:tc>
                <w:tcPr/>
                <w:p>
                  <w:pPr>
                    <w:pStyle w:val="Compact"/>
                    <w:jc w:val="left"/>
                    <w:jc w:val="center"/>
                  </w:pPr>
                  <w:r>
                    <w:t xml:space="preserve">Not employed, looking for work</w:t>
                  </w:r>
                </w:p>
              </w:tc>
              <w:tc>
                <w:tcPr/>
                <w:p>
                  <w:pPr>
                    <w:pStyle w:val="Compact"/>
                    <w:jc w:val="right"/>
                    <w:jc w:val="center"/>
                  </w:pPr>
                  <w:r>
                    <w:t xml:space="preserve">110</w:t>
                  </w:r>
                </w:p>
              </w:tc>
              <w:tc>
                <w:tcPr/>
                <w:p>
                  <w:pPr>
                    <w:pStyle w:val="Compact"/>
                    <w:jc w:val="right"/>
                    <w:jc w:val="center"/>
                  </w:pPr>
                  <w:r>
                    <w:t xml:space="preserve">36.7</w:t>
                  </w:r>
                </w:p>
              </w:tc>
            </w:tr>
            <w:tr>
              <w:tc>
                <w:tcPr/>
                <w:p>
                  <w:pPr>
                    <w:pStyle w:val="Compact"/>
                    <w:jc w:val="left"/>
                    <w:jc w:val="center"/>
                  </w:pPr>
                  <w:r>
                    <w:t xml:space="preserve">Retired</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Household Income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Less than $25,000</w:t>
                  </w:r>
                </w:p>
              </w:tc>
              <w:tc>
                <w:tcPr/>
                <w:p>
                  <w:pPr>
                    <w:pStyle w:val="Compact"/>
                    <w:jc w:val="right"/>
                    <w:jc w:val="center"/>
                  </w:pPr>
                  <w:r>
                    <w:t xml:space="preserve">168</w:t>
                  </w:r>
                </w:p>
              </w:tc>
              <w:tc>
                <w:tcPr/>
                <w:p>
                  <w:pPr>
                    <w:pStyle w:val="Compact"/>
                    <w:jc w:val="right"/>
                    <w:jc w:val="center"/>
                  </w:pPr>
                  <w:r>
                    <w:t xml:space="preserve">56.0</w:t>
                  </w:r>
                </w:p>
              </w:tc>
            </w:tr>
            <w:tr>
              <w:tc>
                <w:tcPr/>
                <w:p>
                  <w:pPr>
                    <w:pStyle w:val="Compact"/>
                    <w:jc w:val="left"/>
                    <w:jc w:val="center"/>
                  </w:pPr>
                  <w:r>
                    <w:t xml:space="preserve">$25,000 - $34,999</w:t>
                  </w:r>
                </w:p>
              </w:tc>
              <w:tc>
                <w:tcPr/>
                <w:p>
                  <w:pPr>
                    <w:pStyle w:val="Compact"/>
                    <w:jc w:val="right"/>
                    <w:jc w:val="center"/>
                  </w:pPr>
                  <w:r>
                    <w:t xml:space="preserve">41</w:t>
                  </w:r>
                </w:p>
              </w:tc>
              <w:tc>
                <w:tcPr/>
                <w:p>
                  <w:pPr>
                    <w:pStyle w:val="Compact"/>
                    <w:jc w:val="right"/>
                    <w:jc w:val="center"/>
                  </w:pPr>
                  <w:r>
                    <w:t xml:space="preserve">13.7</w:t>
                  </w:r>
                </w:p>
              </w:tc>
            </w:tr>
            <w:tr>
              <w:tc>
                <w:tcPr/>
                <w:p>
                  <w:pPr>
                    <w:pStyle w:val="Compact"/>
                    <w:jc w:val="left"/>
                    <w:jc w:val="center"/>
                  </w:pPr>
                  <w:r>
                    <w:t xml:space="preserve">$35,000 - $49,999</w:t>
                  </w:r>
                </w:p>
              </w:tc>
              <w:tc>
                <w:tcPr/>
                <w:p>
                  <w:pPr>
                    <w:pStyle w:val="Compact"/>
                    <w:jc w:val="right"/>
                    <w:jc w:val="center"/>
                  </w:pPr>
                  <w:r>
                    <w:t xml:space="preserve">38</w:t>
                  </w:r>
                </w:p>
              </w:tc>
              <w:tc>
                <w:tcPr/>
                <w:p>
                  <w:pPr>
                    <w:pStyle w:val="Compact"/>
                    <w:jc w:val="right"/>
                    <w:jc w:val="center"/>
                  </w:pPr>
                  <w:r>
                    <w:t xml:space="preserve">12.7</w:t>
                  </w:r>
                </w:p>
              </w:tc>
            </w:tr>
            <w:tr>
              <w:tc>
                <w:tcPr/>
                <w:p>
                  <w:pPr>
                    <w:pStyle w:val="Compact"/>
                    <w:jc w:val="left"/>
                    <w:jc w:val="center"/>
                  </w:pPr>
                  <w:r>
                    <w:t xml:space="preserve">$50,000 - $74,999</w:t>
                  </w:r>
                </w:p>
              </w:tc>
              <w:tc>
                <w:tcPr/>
                <w:p>
                  <w:pPr>
                    <w:pStyle w:val="Compact"/>
                    <w:jc w:val="right"/>
                    <w:jc w:val="center"/>
                  </w:pPr>
                  <w:r>
                    <w:t xml:space="preserve">29</w:t>
                  </w:r>
                </w:p>
              </w:tc>
              <w:tc>
                <w:tcPr/>
                <w:p>
                  <w:pPr>
                    <w:pStyle w:val="Compact"/>
                    <w:jc w:val="right"/>
                    <w:jc w:val="center"/>
                  </w:pPr>
                  <w:r>
                    <w:t xml:space="preserve">9.7</w:t>
                  </w:r>
                </w:p>
              </w:tc>
            </w:tr>
            <w:tr>
              <w:tc>
                <w:tcPr/>
                <w:p>
                  <w:pPr>
                    <w:pStyle w:val="Compact"/>
                    <w:jc w:val="left"/>
                    <w:jc w:val="center"/>
                  </w:pPr>
                  <w:r>
                    <w:t xml:space="preserve">$75,000 - $99,999</w:t>
                  </w:r>
                </w:p>
              </w:tc>
              <w:tc>
                <w:tcPr/>
                <w:p>
                  <w:pPr>
                    <w:pStyle w:val="Compact"/>
                    <w:jc w:val="right"/>
                    <w:jc w:val="center"/>
                  </w:pPr>
                  <w:r>
                    <w:t xml:space="preserve">13</w:t>
                  </w:r>
                </w:p>
              </w:tc>
              <w:tc>
                <w:tcPr/>
                <w:p>
                  <w:pPr>
                    <w:pStyle w:val="Compact"/>
                    <w:jc w:val="right"/>
                    <w:jc w:val="center"/>
                  </w:pPr>
                  <w:r>
                    <w:t xml:space="preserve">4.3</w:t>
                  </w:r>
                </w:p>
              </w:tc>
            </w:tr>
            <w:tr>
              <w:tc>
                <w:tcPr/>
                <w:p>
                  <w:pPr>
                    <w:pStyle w:val="Compact"/>
                    <w:jc w:val="left"/>
                    <w:jc w:val="center"/>
                  </w:pPr>
                  <w:r>
                    <w:t xml:space="preserve">$100,000 - $149,999</w:t>
                  </w:r>
                </w:p>
              </w:tc>
              <w:tc>
                <w:tcPr/>
                <w:p>
                  <w:pPr>
                    <w:pStyle w:val="Compact"/>
                    <w:jc w:val="right"/>
                    <w:jc w:val="center"/>
                  </w:pPr>
                  <w:r>
                    <w:t xml:space="preserve">4</w:t>
                  </w:r>
                </w:p>
              </w:tc>
              <w:tc>
                <w:tcPr/>
                <w:p>
                  <w:pPr>
                    <w:pStyle w:val="Compact"/>
                    <w:jc w:val="right"/>
                    <w:jc w:val="center"/>
                  </w:pPr>
                  <w:r>
                    <w:t xml:space="preserve">1.3</w:t>
                  </w:r>
                </w:p>
              </w:tc>
            </w:tr>
            <w:tr>
              <w:tc>
                <w:tcPr/>
                <w:p>
                  <w:pPr>
                    <w:pStyle w:val="Compact"/>
                    <w:jc w:val="left"/>
                    <w:jc w:val="center"/>
                  </w:pPr>
                  <w:r>
                    <w:t xml:space="preserve">$150,000 - $199,999</w:t>
                  </w:r>
                </w:p>
              </w:tc>
              <w:tc>
                <w:tcPr/>
                <w:p>
                  <w:pPr>
                    <w:pStyle w:val="Compact"/>
                    <w:jc w:val="right"/>
                    <w:jc w:val="center"/>
                  </w:pPr>
                  <w:r>
                    <w:t xml:space="preserve">4</w:t>
                  </w:r>
                </w:p>
              </w:tc>
              <w:tc>
                <w:tcPr/>
                <w:p>
                  <w:pPr>
                    <w:pStyle w:val="Compact"/>
                    <w:jc w:val="right"/>
                    <w:jc w:val="center"/>
                  </w:pPr>
                  <w:r>
                    <w:t xml:space="preserve">1.3</w:t>
                  </w:r>
                </w:p>
              </w:tc>
            </w:tr>
            <w:tr>
              <w:tc>
                <w:tcPr/>
                <w:p>
                  <w:pPr>
                    <w:pStyle w:val="Compact"/>
                    <w:jc w:val="left"/>
                    <w:jc w:val="center"/>
                  </w:pPr>
                  <w:r>
                    <w:t xml:space="preserve">$200,000 or more</w:t>
                  </w:r>
                </w:p>
              </w:tc>
              <w:tc>
                <w:tcPr/>
                <w:p>
                  <w:pPr>
                    <w:pStyle w:val="Compact"/>
                    <w:jc w:val="right"/>
                    <w:jc w:val="center"/>
                  </w:pPr>
                  <w:r>
                    <w:t xml:space="preserve">1</w:t>
                  </w:r>
                </w:p>
              </w:tc>
              <w:tc>
                <w:tcPr/>
                <w:p>
                  <w:pPr>
                    <w:pStyle w:val="Compact"/>
                    <w:jc w:val="right"/>
                    <w:jc w:val="center"/>
                  </w:pPr>
                  <w:r>
                    <w:t xml:space="preserve">0.3</w:t>
                  </w:r>
                </w:p>
              </w:tc>
            </w:tr>
            <w:tr>
              <w:tc>
                <w:tcPr/>
                <w:p>
                  <w:pPr>
                    <w:pStyle w:val="Compact"/>
                    <w:jc w:val="left"/>
                    <w:jc w:val="center"/>
                  </w:pPr>
                  <w:r>
                    <w:t xml:space="preserve">Self-reported DSM-5 OUD Symptom Count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Under threshold (0-1)</w:t>
                  </w:r>
                </w:p>
              </w:tc>
              <w:tc>
                <w:tcPr/>
                <w:p>
                  <w:pPr>
                    <w:pStyle w:val="Compact"/>
                    <w:jc w:val="right"/>
                    <w:jc w:val="center"/>
                  </w:pPr>
                  <w:r>
                    <w:t xml:space="preserve">6</w:t>
                  </w:r>
                </w:p>
              </w:tc>
              <w:tc>
                <w:tcPr/>
                <w:p>
                  <w:pPr>
                    <w:pStyle w:val="Compact"/>
                    <w:jc w:val="right"/>
                    <w:jc w:val="center"/>
                  </w:pPr>
                  <w:r>
                    <w:t xml:space="preserve">2.0</w:t>
                  </w:r>
                </w:p>
              </w:tc>
            </w:tr>
            <w:tr>
              <w:tc>
                <w:tcPr/>
                <w:p>
                  <w:pPr>
                    <w:pStyle w:val="Compact"/>
                    <w:jc w:val="left"/>
                    <w:jc w:val="center"/>
                  </w:pPr>
                  <w:r>
                    <w:t xml:space="preserve">Mild (2-3)</w:t>
                  </w:r>
                </w:p>
              </w:tc>
              <w:tc>
                <w:tcPr/>
                <w:p>
                  <w:pPr>
                    <w:pStyle w:val="Compact"/>
                    <w:jc w:val="right"/>
                    <w:jc w:val="center"/>
                  </w:pPr>
                  <w:r>
                    <w:t xml:space="preserve">0</w:t>
                  </w:r>
                </w:p>
              </w:tc>
              <w:tc>
                <w:tcPr/>
                <w:p>
                  <w:pPr>
                    <w:pStyle w:val="Compact"/>
                    <w:jc w:val="right"/>
                    <w:jc w:val="center"/>
                  </w:pPr>
                  <w:r>
                    <w:t xml:space="preserve">0.0</w:t>
                  </w:r>
                </w:p>
              </w:tc>
            </w:tr>
            <w:tr>
              <w:tc>
                <w:tcPr/>
                <w:p>
                  <w:pPr>
                    <w:pStyle w:val="Compact"/>
                    <w:jc w:val="left"/>
                    <w:jc w:val="center"/>
                  </w:pPr>
                  <w:r>
                    <w:t xml:space="preserve">Moderate (4-5)</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Severe (6+)</w:t>
                  </w:r>
                </w:p>
              </w:tc>
              <w:tc>
                <w:tcPr/>
                <w:p>
                  <w:pPr>
                    <w:pStyle w:val="Compact"/>
                    <w:jc w:val="right"/>
                    <w:jc w:val="center"/>
                  </w:pPr>
                  <w:r>
                    <w:t xml:space="preserve">287</w:t>
                  </w:r>
                </w:p>
              </w:tc>
              <w:tc>
                <w:tcPr/>
                <w:p>
                  <w:pPr>
                    <w:pStyle w:val="Compact"/>
                    <w:jc w:val="right"/>
                    <w:jc w:val="center"/>
                  </w:pPr>
                  <w:r>
                    <w:t xml:space="preserve">95.7</w:t>
                  </w:r>
                </w:p>
              </w:tc>
            </w:tr>
            <w:tr>
              <w:tc>
                <w:tcPr/>
                <w:p>
                  <w:pPr>
                    <w:pStyle w:val="Compact"/>
                    <w:jc w:val="left"/>
                    <w:jc w:val="center"/>
                  </w:pPr>
                  <w:r>
                    <w:t xml:space="preserve">Past Month Opioid Use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200</w:t>
                  </w:r>
                </w:p>
              </w:tc>
              <w:tc>
                <w:tcPr/>
                <w:p>
                  <w:pPr>
                    <w:pStyle w:val="Compact"/>
                    <w:jc w:val="right"/>
                    <w:jc w:val="center"/>
                  </w:pPr>
                  <w:r>
                    <w:t xml:space="preserve">66.7</w:t>
                  </w:r>
                </w:p>
              </w:tc>
            </w:tr>
            <w:tr>
              <w:tc>
                <w:tcPr/>
                <w:p>
                  <w:pPr>
                    <w:pStyle w:val="Compact"/>
                    <w:jc w:val="left"/>
                    <w:jc w:val="center"/>
                  </w:pPr>
                  <w:r>
                    <w:t xml:space="preserve">Yes</w:t>
                  </w:r>
                </w:p>
              </w:tc>
              <w:tc>
                <w:tcPr/>
                <w:p>
                  <w:pPr>
                    <w:pStyle w:val="Compact"/>
                    <w:jc w:val="right"/>
                    <w:jc w:val="center"/>
                  </w:pPr>
                  <w:r>
                    <w:t xml:space="preserve">98</w:t>
                  </w:r>
                </w:p>
              </w:tc>
              <w:tc>
                <w:tcPr/>
                <w:p>
                  <w:pPr>
                    <w:pStyle w:val="Compact"/>
                    <w:jc w:val="right"/>
                    <w:jc w:val="center"/>
                  </w:pPr>
                  <w:r>
                    <w:t xml:space="preserve">32.7</w:t>
                  </w:r>
                </w:p>
              </w:tc>
            </w:tr>
            <w:tr>
              <w:tc>
                <w:tcPr/>
                <w:p>
                  <w:pPr>
                    <w:pStyle w:val="Compact"/>
                    <w:jc w:val="left"/>
                    <w:jc w:val="center"/>
                  </w:pPr>
                  <w:r>
                    <w:t xml:space="preserve">Past Month Detox or Residential Treatment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194</w:t>
                  </w:r>
                </w:p>
              </w:tc>
              <w:tc>
                <w:tcPr/>
                <w:p>
                  <w:pPr>
                    <w:pStyle w:val="Compact"/>
                    <w:jc w:val="right"/>
                    <w:jc w:val="center"/>
                  </w:pPr>
                  <w:r>
                    <w:t xml:space="preserve">64.7</w:t>
                  </w:r>
                </w:p>
              </w:tc>
            </w:tr>
            <w:tr>
              <w:tc>
                <w:tcPr/>
                <w:p>
                  <w:pPr>
                    <w:pStyle w:val="Compact"/>
                    <w:jc w:val="left"/>
                    <w:jc w:val="center"/>
                  </w:pPr>
                  <w:r>
                    <w:t xml:space="preserve">Yes</w:t>
                  </w:r>
                </w:p>
              </w:tc>
              <w:tc>
                <w:tcPr/>
                <w:p>
                  <w:pPr>
                    <w:pStyle w:val="Compact"/>
                    <w:jc w:val="right"/>
                    <w:jc w:val="center"/>
                  </w:pPr>
                  <w:r>
                    <w:t xml:space="preserve">105</w:t>
                  </w:r>
                </w:p>
              </w:tc>
              <w:tc>
                <w:tcPr/>
                <w:p>
                  <w:pPr>
                    <w:pStyle w:val="Compact"/>
                    <w:jc w:val="right"/>
                    <w:jc w:val="center"/>
                  </w:pPr>
                  <w:r>
                    <w:t xml:space="preserve">35.0</w:t>
                  </w:r>
                </w:p>
              </w:tc>
            </w:tr>
            <w:tr>
              <w:tc>
                <w:tcPr/>
                <w:p>
                  <w:pPr>
                    <w:pStyle w:val="Compact"/>
                    <w:jc w:val="left"/>
                    <w:jc w:val="center"/>
                  </w:pPr>
                  <w:r>
                    <w:t xml:space="preserve">Past Month Psychiatric Medication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153</w:t>
                  </w:r>
                </w:p>
              </w:tc>
              <w:tc>
                <w:tcPr/>
                <w:p>
                  <w:pPr>
                    <w:pStyle w:val="Compact"/>
                    <w:jc w:val="right"/>
                    <w:jc w:val="center"/>
                  </w:pPr>
                  <w:r>
                    <w:t xml:space="preserve">51.0</w:t>
                  </w:r>
                </w:p>
              </w:tc>
            </w:tr>
            <w:tr>
              <w:tc>
                <w:tcPr/>
                <w:p>
                  <w:pPr>
                    <w:pStyle w:val="Compact"/>
                    <w:jc w:val="left"/>
                    <w:jc w:val="center"/>
                  </w:pPr>
                  <w:r>
                    <w:t xml:space="preserve">Yes</w:t>
                  </w:r>
                </w:p>
              </w:tc>
              <w:tc>
                <w:tcPr/>
                <w:p>
                  <w:pPr>
                    <w:pStyle w:val="Compact"/>
                    <w:jc w:val="right"/>
                    <w:jc w:val="center"/>
                  </w:pPr>
                  <w:r>
                    <w:t xml:space="preserve">146</w:t>
                  </w:r>
                </w:p>
              </w:tc>
              <w:tc>
                <w:tcPr/>
                <w:p>
                  <w:pPr>
                    <w:pStyle w:val="Compact"/>
                    <w:jc w:val="right"/>
                    <w:jc w:val="center"/>
                  </w:pPr>
                  <w:r>
                    <w:t xml:space="preserve">48.7</w:t>
                  </w:r>
                </w:p>
              </w:tc>
            </w:tr>
            <w:tr>
              <w:tc>
                <w:tcPr/>
                <w:p>
                  <w:pPr>
                    <w:pStyle w:val="Compact"/>
                    <w:jc w:val="left"/>
                    <w:jc w:val="center"/>
                  </w:pPr>
                  <w:r>
                    <w:t xml:space="preserve">Preferred Opioid</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Fentanyl</w:t>
                  </w:r>
                </w:p>
              </w:tc>
              <w:tc>
                <w:tcPr/>
                <w:p>
                  <w:pPr>
                    <w:pStyle w:val="Compact"/>
                    <w:jc w:val="right"/>
                    <w:jc w:val="center"/>
                  </w:pPr>
                  <w:r>
                    <w:t xml:space="preserve">53</w:t>
                  </w:r>
                </w:p>
              </w:tc>
              <w:tc>
                <w:tcPr/>
                <w:p>
                  <w:pPr>
                    <w:pStyle w:val="Compact"/>
                    <w:jc w:val="right"/>
                    <w:jc w:val="center"/>
                  </w:pPr>
                  <w:r>
                    <w:t xml:space="preserve">17.7</w:t>
                  </w:r>
                </w:p>
              </w:tc>
            </w:tr>
            <w:tr>
              <w:tc>
                <w:tcPr/>
                <w:p>
                  <w:pPr>
                    <w:pStyle w:val="Compact"/>
                    <w:jc w:val="left"/>
                    <w:jc w:val="center"/>
                  </w:pPr>
                  <w:r>
                    <w:t xml:space="preserve">Heroin</w:t>
                  </w:r>
                </w:p>
              </w:tc>
              <w:tc>
                <w:tcPr/>
                <w:p>
                  <w:pPr>
                    <w:pStyle w:val="Compact"/>
                    <w:jc w:val="right"/>
                    <w:jc w:val="center"/>
                  </w:pPr>
                  <w:r>
                    <w:t xml:space="preserve">120</w:t>
                  </w:r>
                </w:p>
              </w:tc>
              <w:tc>
                <w:tcPr/>
                <w:p>
                  <w:pPr>
                    <w:pStyle w:val="Compact"/>
                    <w:jc w:val="right"/>
                    <w:jc w:val="center"/>
                  </w:pPr>
                  <w:r>
                    <w:t xml:space="preserve">40.0</w:t>
                  </w:r>
                </w:p>
              </w:tc>
            </w:tr>
            <w:tr>
              <w:tc>
                <w:tcPr/>
                <w:p>
                  <w:pPr>
                    <w:pStyle w:val="Compact"/>
                    <w:jc w:val="left"/>
                    <w:jc w:val="center"/>
                  </w:pPr>
                  <w:r>
                    <w:t xml:space="preserve">Prescription opioid not for opioid treatment</w:t>
                  </w:r>
                </w:p>
              </w:tc>
              <w:tc>
                <w:tcPr/>
                <w:p>
                  <w:pPr>
                    <w:pStyle w:val="Compact"/>
                    <w:jc w:val="right"/>
                    <w:jc w:val="center"/>
                  </w:pPr>
                  <w:r>
                    <w:t xml:space="preserve">95</w:t>
                  </w:r>
                </w:p>
              </w:tc>
              <w:tc>
                <w:tcPr/>
                <w:p>
                  <w:pPr>
                    <w:pStyle w:val="Compact"/>
                    <w:jc w:val="right"/>
                    <w:jc w:val="center"/>
                  </w:pPr>
                  <w:r>
                    <w:t xml:space="preserve">31.7</w:t>
                  </w:r>
                </w:p>
              </w:tc>
            </w:tr>
            <w:tr>
              <w:tc>
                <w:tcPr/>
                <w:p>
                  <w:pPr>
                    <w:pStyle w:val="Compact"/>
                    <w:jc w:val="left"/>
                    <w:jc w:val="center"/>
                  </w:pPr>
                  <w:r>
                    <w:t xml:space="preserve">Medication for opioid treatment</w:t>
                  </w:r>
                </w:p>
              </w:tc>
              <w:tc>
                <w:tcPr/>
                <w:p>
                  <w:pPr>
                    <w:pStyle w:val="Compact"/>
                    <w:jc w:val="right"/>
                    <w:jc w:val="center"/>
                  </w:pPr>
                  <w:r>
                    <w:t xml:space="preserve">29</w:t>
                  </w:r>
                </w:p>
              </w:tc>
              <w:tc>
                <w:tcPr/>
                <w:p>
                  <w:pPr>
                    <w:pStyle w:val="Compact"/>
                    <w:jc w:val="right"/>
                    <w:jc w:val="center"/>
                  </w:pPr>
                  <w:r>
                    <w:t xml:space="preserve">9.7</w:t>
                  </w:r>
                </w:p>
              </w:tc>
            </w:tr>
            <w:tr>
              <w:tc>
                <w:tcPr/>
                <w:p>
                  <w:pPr>
                    <w:pStyle w:val="Compact"/>
                    <w:jc w:val="left"/>
                    <w:jc w:val="center"/>
                  </w:pPr>
                  <w:r>
                    <w:t xml:space="preserve">Preferred Route of Administration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Injection</w:t>
                  </w:r>
                </w:p>
              </w:tc>
              <w:tc>
                <w:tcPr/>
                <w:p>
                  <w:pPr>
                    <w:pStyle w:val="Compact"/>
                    <w:jc w:val="right"/>
                    <w:jc w:val="center"/>
                  </w:pPr>
                  <w:r>
                    <w:t xml:space="preserve">103</w:t>
                  </w:r>
                </w:p>
              </w:tc>
              <w:tc>
                <w:tcPr/>
                <w:p>
                  <w:pPr>
                    <w:pStyle w:val="Compact"/>
                    <w:jc w:val="right"/>
                    <w:jc w:val="center"/>
                  </w:pPr>
                  <w:r>
                    <w:t xml:space="preserve">34.3</w:t>
                  </w:r>
                </w:p>
              </w:tc>
            </w:tr>
            <w:tr>
              <w:tc>
                <w:tcPr/>
                <w:p>
                  <w:pPr>
                    <w:pStyle w:val="Compact"/>
                    <w:jc w:val="left"/>
                    <w:jc w:val="center"/>
                  </w:pPr>
                  <w:r>
                    <w:t xml:space="preserve">Oral</w:t>
                  </w:r>
                </w:p>
              </w:tc>
              <w:tc>
                <w:tcPr/>
                <w:p>
                  <w:pPr>
                    <w:pStyle w:val="Compact"/>
                    <w:jc w:val="right"/>
                    <w:jc w:val="center"/>
                  </w:pPr>
                  <w:r>
                    <w:t xml:space="preserve">56</w:t>
                  </w:r>
                </w:p>
              </w:tc>
              <w:tc>
                <w:tcPr/>
                <w:p>
                  <w:pPr>
                    <w:pStyle w:val="Compact"/>
                    <w:jc w:val="right"/>
                    <w:jc w:val="center"/>
                  </w:pPr>
                  <w:r>
                    <w:t xml:space="preserve">18.7</w:t>
                  </w:r>
                </w:p>
              </w:tc>
            </w:tr>
            <w:tr>
              <w:tc>
                <w:tcPr/>
                <w:p>
                  <w:pPr>
                    <w:pStyle w:val="Compact"/>
                    <w:jc w:val="left"/>
                    <w:jc w:val="center"/>
                  </w:pPr>
                  <w:r>
                    <w:t xml:space="preserve">Smoke</w:t>
                  </w:r>
                </w:p>
              </w:tc>
              <w:tc>
                <w:tcPr/>
                <w:p>
                  <w:pPr>
                    <w:pStyle w:val="Compact"/>
                    <w:jc w:val="right"/>
                    <w:jc w:val="center"/>
                  </w:pPr>
                  <w:r>
                    <w:t xml:space="preserve">54</w:t>
                  </w:r>
                </w:p>
              </w:tc>
              <w:tc>
                <w:tcPr/>
                <w:p>
                  <w:pPr>
                    <w:pStyle w:val="Compact"/>
                    <w:jc w:val="right"/>
                    <w:jc w:val="center"/>
                  </w:pPr>
                  <w:r>
                    <w:t xml:space="preserve">18.0</w:t>
                  </w:r>
                </w:p>
              </w:tc>
            </w:tr>
            <w:tr>
              <w:tc>
                <w:tcPr/>
                <w:p>
                  <w:pPr>
                    <w:pStyle w:val="Compact"/>
                    <w:jc w:val="left"/>
                    <w:jc w:val="center"/>
                  </w:pPr>
                  <w:r>
                    <w:t xml:space="preserve">Sniff or snort</w:t>
                  </w:r>
                </w:p>
              </w:tc>
              <w:tc>
                <w:tcPr/>
                <w:p>
                  <w:pPr>
                    <w:pStyle w:val="Compact"/>
                    <w:jc w:val="right"/>
                    <w:jc w:val="center"/>
                  </w:pPr>
                  <w:r>
                    <w:t xml:space="preserve">83</w:t>
                  </w:r>
                </w:p>
              </w:tc>
              <w:tc>
                <w:tcPr/>
                <w:p>
                  <w:pPr>
                    <w:pStyle w:val="Compact"/>
                    <w:jc w:val="right"/>
                    <w:jc w:val="center"/>
                  </w:pPr>
                  <w:r>
                    <w:t xml:space="preserve">27.7</w:t>
                  </w:r>
                </w:p>
              </w:tc>
            </w:tr>
            <w:tr>
              <w:tc>
                <w:tcPr/>
                <w:p>
                  <w:pPr>
                    <w:pStyle w:val="Compact"/>
                    <w:jc w:val="left"/>
                    <w:jc w:val="center"/>
                  </w:pPr>
                  <w:r>
                    <w:t xml:space="preserve">Other</w:t>
                  </w:r>
                </w:p>
              </w:tc>
              <w:tc>
                <w:tcPr/>
                <w:p>
                  <w:pPr>
                    <w:pStyle w:val="Compact"/>
                    <w:jc w:val="right"/>
                    <w:jc w:val="center"/>
                  </w:pPr>
                  <w:r>
                    <w:t xml:space="preserve">2</w:t>
                  </w:r>
                </w:p>
              </w:tc>
              <w:tc>
                <w:tcPr/>
                <w:p>
                  <w:pPr>
                    <w:pStyle w:val="Compact"/>
                    <w:jc w:val="right"/>
                    <w:jc w:val="center"/>
                  </w:pPr>
                  <w:r>
                    <w:t xml:space="preserve">0.7</w:t>
                  </w:r>
                </w:p>
              </w:tc>
            </w:tr>
            <w:tr>
              <w:tc>
                <w:tcPr/>
                <w:p>
                  <w:pPr>
                    <w:pStyle w:val="Compact"/>
                    <w:jc w:val="left"/>
                    <w:jc w:val="center"/>
                  </w:pPr>
                  <w:r>
                    <w:t xml:space="preserve">Lifetime History of Overdose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Never</w:t>
                  </w:r>
                </w:p>
              </w:tc>
              <w:tc>
                <w:tcPr/>
                <w:p>
                  <w:pPr>
                    <w:pStyle w:val="Compact"/>
                    <w:jc w:val="right"/>
                    <w:jc w:val="center"/>
                  </w:pPr>
                  <w:r>
                    <w:t xml:space="preserve">124</w:t>
                  </w:r>
                </w:p>
              </w:tc>
              <w:tc>
                <w:tcPr/>
                <w:p>
                  <w:pPr>
                    <w:pStyle w:val="Compact"/>
                    <w:jc w:val="right"/>
                    <w:jc w:val="center"/>
                  </w:pPr>
                  <w:r>
                    <w:t xml:space="preserve">41.3</w:t>
                  </w:r>
                </w:p>
              </w:tc>
            </w:tr>
            <w:tr>
              <w:tc>
                <w:tcPr/>
                <w:p>
                  <w:pPr>
                    <w:pStyle w:val="Compact"/>
                    <w:jc w:val="left"/>
                    <w:jc w:val="center"/>
                  </w:pPr>
                  <w:r>
                    <w:t xml:space="preserve">1 time</w:t>
                  </w:r>
                </w:p>
              </w:tc>
              <w:tc>
                <w:tcPr/>
                <w:p>
                  <w:pPr>
                    <w:pStyle w:val="Compact"/>
                    <w:jc w:val="right"/>
                    <w:jc w:val="center"/>
                  </w:pPr>
                  <w:r>
                    <w:t xml:space="preserve">39</w:t>
                  </w:r>
                </w:p>
              </w:tc>
              <w:tc>
                <w:tcPr/>
                <w:p>
                  <w:pPr>
                    <w:pStyle w:val="Compact"/>
                    <w:jc w:val="right"/>
                    <w:jc w:val="center"/>
                  </w:pPr>
                  <w:r>
                    <w:t xml:space="preserve">13.0</w:t>
                  </w:r>
                </w:p>
              </w:tc>
            </w:tr>
            <w:tr>
              <w:tc>
                <w:tcPr/>
                <w:p>
                  <w:pPr>
                    <w:pStyle w:val="Compact"/>
                    <w:jc w:val="left"/>
                    <w:jc w:val="center"/>
                  </w:pPr>
                  <w:r>
                    <w:t xml:space="preserve">2-3 times</w:t>
                  </w:r>
                </w:p>
              </w:tc>
              <w:tc>
                <w:tcPr/>
                <w:p>
                  <w:pPr>
                    <w:pStyle w:val="Compact"/>
                    <w:jc w:val="right"/>
                    <w:jc w:val="center"/>
                  </w:pPr>
                  <w:r>
                    <w:t xml:space="preserve">72</w:t>
                  </w:r>
                </w:p>
              </w:tc>
              <w:tc>
                <w:tcPr/>
                <w:p>
                  <w:pPr>
                    <w:pStyle w:val="Compact"/>
                    <w:jc w:val="right"/>
                    <w:jc w:val="center"/>
                  </w:pPr>
                  <w:r>
                    <w:t xml:space="preserve">24.0</w:t>
                  </w:r>
                </w:p>
              </w:tc>
            </w:tr>
            <w:tr>
              <w:tc>
                <w:tcPr/>
                <w:p>
                  <w:pPr>
                    <w:pStyle w:val="Compact"/>
                    <w:jc w:val="left"/>
                    <w:jc w:val="center"/>
                  </w:pPr>
                  <w:r>
                    <w:t xml:space="preserve">4-5 times</w:t>
                  </w:r>
                </w:p>
              </w:tc>
              <w:tc>
                <w:tcPr/>
                <w:p>
                  <w:pPr>
                    <w:pStyle w:val="Compact"/>
                    <w:jc w:val="right"/>
                    <w:jc w:val="center"/>
                  </w:pPr>
                  <w:r>
                    <w:t xml:space="preserve">26</w:t>
                  </w:r>
                </w:p>
              </w:tc>
              <w:tc>
                <w:tcPr/>
                <w:p>
                  <w:pPr>
                    <w:pStyle w:val="Compact"/>
                    <w:jc w:val="right"/>
                    <w:jc w:val="center"/>
                  </w:pPr>
                  <w:r>
                    <w:t xml:space="preserve">8.7</w:t>
                  </w:r>
                </w:p>
              </w:tc>
            </w:tr>
            <w:tr>
              <w:tc>
                <w:tcPr/>
                <w:p>
                  <w:pPr>
                    <w:pStyle w:val="Compact"/>
                    <w:jc w:val="left"/>
                    <w:jc w:val="center"/>
                  </w:pPr>
                  <w:r>
                    <w:t xml:space="preserve">More than 5 times</w:t>
                  </w:r>
                </w:p>
              </w:tc>
              <w:tc>
                <w:tcPr/>
                <w:p>
                  <w:pPr>
                    <w:pStyle w:val="Compact"/>
                    <w:jc w:val="right"/>
                    <w:jc w:val="center"/>
                  </w:pPr>
                  <w:r>
                    <w:t xml:space="preserve">37</w:t>
                  </w:r>
                </w:p>
              </w:tc>
              <w:tc>
                <w:tcPr/>
                <w:p>
                  <w:pPr>
                    <w:pStyle w:val="Compact"/>
                    <w:jc w:val="right"/>
                    <w:jc w:val="center"/>
                  </w:pPr>
                  <w:r>
                    <w:t xml:space="preserve">12.3</w:t>
                  </w:r>
                </w:p>
              </w:tc>
            </w:tr>
            <w:tr>
              <w:tc>
                <w:tcPr/>
                <w:p>
                  <w:pPr>
                    <w:pStyle w:val="Compact"/>
                    <w:jc w:val="left"/>
                    <w:jc w:val="center"/>
                  </w:pPr>
                  <w:r>
                    <w:t xml:space="preserve">Note:</w:t>
                  </w:r>
                  <w:r>
                    <w:t xml:space="preserve"> </w:t>
                  </w:r>
                </w:p>
              </w:tc>
              <w:tc>
                <w:tcPr/>
                <w:p>
                  <w:pPr>
                    <w:pStyle w:val="Compact"/>
                  </w:pPr>
                </w:p>
              </w:tc>
              <w:tc>
                <w:tcPr/>
                <w:p>
                  <w:pPr>
                    <w:pStyle w:val="Compact"/>
                  </w:pPr>
                </w:p>
              </w:tc>
            </w:tr>
            <w:tr>
              <w:tc>
                <w:tcPr/>
                <w:p>
                  <w:pPr>
                    <w:pStyle w:val="Compact"/>
                    <w:jc w:val="left"/>
                    <w:jc w:val="center"/>
                  </w:pPr>
                  <w:r>
                    <w:t xml:space="preserve"> </w:t>
                  </w:r>
                  <w:r>
                    <w:t xml:space="preserve">N = 300</w:t>
                  </w:r>
                </w:p>
              </w:tc>
              <w:tc>
                <w:tcPr/>
                <w:p>
                  <w:pPr>
                    <w:pStyle w:val="Compact"/>
                  </w:pPr>
                </w:p>
              </w:tc>
              <w:tc>
                <w:tcPr/>
                <w:p>
                  <w:pPr>
                    <w:pStyle w:val="Compact"/>
                  </w:pPr>
                </w:p>
              </w:tc>
            </w:tr>
          </w:tbl>
          <w:bookmarkEnd w:id="42"/>
          <w:p/>
        </w:tc>
      </w:tr>
    </w:tbl>
    <w:bookmarkEnd w:id="43"/>
    <w:bookmarkStart w:id="44" w:name="adherence-features-and-labels"/>
    <w:p>
      <w:pPr>
        <w:pStyle w:val="Heading2"/>
      </w:pPr>
      <w:r>
        <w:t xml:space="preserve">Adherence, Features, and Labels</w:t>
      </w:r>
    </w:p>
    <w:p>
      <w:pPr>
        <w:pStyle w:val="FirstParagraph"/>
      </w:pPr>
      <w:r>
        <w:t xml:space="preserve">Mean days on study across participants was 298 days (range 32-395 days). 83% of participants (250/300) remained on study for at least six months. EMA adherence was high. On average participants completed 73% of the daily EMA prompts (range 24-100%). Participants provided, on average, 313 daily geolocation points (range 20-825).</w:t>
      </w:r>
    </w:p>
    <w:p>
      <w:pPr>
        <w:pStyle w:val="BodyText"/>
      </w:pPr>
      <w:r>
        <w:t xml:space="preserve">Our final feature set consisted of 640 features</w:t>
      </w:r>
      <w:r>
        <w:t xml:space="preserve">. The proportion of missing values across features was low (mean=.03, range = 0-.12).</w:t>
      </w:r>
      <w:r>
        <w:t xml:space="preserve"> </w:t>
      </w:r>
      <w:r>
        <w:t xml:space="preserve">Across participants we generated a total of 88,973 day-level labels.</w:t>
      </w:r>
      <w:r>
        <w:t xml:space="preserve"> </w:t>
      </w:r>
      <w:r>
        <w:t xml:space="preserve">Forty percent of participants (119/300) reported an opioid lapse while on study (mean=5.73, range 0-117). This resulted in 1.93% of the labels positive for lapse (1,720/88,973 labels).</w:t>
      </w:r>
    </w:p>
    <w:bookmarkEnd w:id="44"/>
    <w:bookmarkStart w:id="50" w:name="performance"/>
    <w:p>
      <w:pPr>
        <w:pStyle w:val="Heading2"/>
      </w:pPr>
      <w:r>
        <w:t xml:space="preserve">Performance</w:t>
      </w:r>
    </w:p>
    <w:p>
      <w:pPr>
        <w:pStyle w:val="FirstParagraph"/>
      </w:pPr>
      <w:r>
        <w:t xml:space="preserve">The best model configuration used an xgboost statistical algorithm and up-sampled the minority class</w:t>
      </w:r>
      <w:r>
        <w:t xml:space="preserve">.</w:t>
      </w:r>
      <w:r>
        <w:rPr>
          <w:rStyle w:val="FootnoteReference"/>
        </w:rPr>
        <w:footnoteReference w:id="45"/>
      </w:r>
      <w:r>
        <w:t xml:space="preserve"> </w:t>
      </w:r>
      <w:r>
        <w:t xml:space="preserve">The median posterior probability for the best model was 0.93, with narrow 95% CI ([0.92, 0.94]).</w:t>
      </w:r>
    </w:p>
    <w:p>
      <w:pPr>
        <w:pStyle w:val="BodyText"/>
      </w:pPr>
      <w:r>
        <w:t xml:space="preserve">We compared our best model’s performance to a baseline model that only used information gathered at intake (i.e., individual differences in demographic and OUD characteristics) to evaluate the incremental predictive value of adding dynamic features. The median posterior probability for the baseline model was 0.74 (95% CI [0.71, 0.77]). A Bayesian model comparison revealed extremely strong evidence that the best model was more predictive than the baseline model (probability = 1.00).</w:t>
      </w:r>
    </w:p>
    <w:p>
      <w:pPr>
        <w:pStyle w:val="BodyText"/>
      </w:pPr>
      <w:r>
        <w:t xml:space="preserve">Our fairness subgroup comparisons revealed no evidence that performance meaningfully differed by geographic location (probability = 0.68), weak evidence that performance differed by education (probability = 0.83), and strong evidence that performance differed by gender, income, and race and ethnicity (probabilities &gt; 0.99). Notably, our model performed better for individuals with an annual income below the federal poverty line compared to individuals above the federal poverty line, thus favoring the disadvantaged group. While differences in performance estimates exist across subgroups, they are not likely clinically meaningful as all of our subgroups yielded median auROCs between 0.91 - 0.94 (</w:t>
      </w:r>
      <w:hyperlink w:anchor="fig-1">
        <w:r>
          <w:rPr>
            <w:rStyle w:val="Hyperlink"/>
          </w:rPr>
          <w:t xml:space="preserve">Figure 1</w:t>
        </w:r>
      </w:hyperlink>
      <w:r>
        <w:t xml:space="preserve">). A table of fairness subgroup comparisons is available in the supplement.</w:t>
      </w:r>
    </w:p>
    <w:tbl>
      <w:tblPr>
        <w:tblStyle w:val="Table"/>
        <w:tblW w:type="pct" w:w="5000"/>
        <w:tblLayout w:type="fixed"/>
        <w:tblLook w:firstRow="0" w:lastRow="0" w:firstColumn="0" w:lastColumn="0" w:noHBand="0" w:noVBand="0" w:val="0000"/>
      </w:tblPr>
      <w:tblGrid>
        <w:gridCol w:w="7920"/>
      </w:tblGrid>
      <w:tr>
        <w:tc>
          <w:tcPr/>
          <w:bookmarkStart w:id="49" w:name="fig-1"/>
          <w:p>
            <w:pPr>
              <w:pStyle w:val="Compact"/>
              <w:jc w:val="center"/>
            </w:pPr>
            <w:r>
              <w:drawing>
                <wp:inline>
                  <wp:extent cx="5334000" cy="3809999"/>
                  <wp:effectExtent b="0" l="0" r="0" t="0"/>
                  <wp:docPr descr="" title="" id="47" name="Picture"/>
                  <a:graphic>
                    <a:graphicData uri="http://schemas.openxmlformats.org/drawingml/2006/picture">
                      <pic:pic>
                        <pic:nvPicPr>
                          <pic:cNvPr descr="index_files/figure-docx/notebooks-mak_figures-fig-1-output-1.png" id="48" name="Picture"/>
                          <pic:cNvPicPr>
                            <a:picLocks noChangeArrowheads="1" noChangeAspect="1"/>
                          </pic:cNvPicPr>
                        </pic:nvPicPr>
                        <pic:blipFill>
                          <a:blip r:embed="rId46"/>
                          <a:stretch>
                            <a:fillRect/>
                          </a:stretch>
                        </pic:blipFill>
                        <pic:spPr bwMode="auto">
                          <a:xfrm>
                            <a:off x="0" y="0"/>
                            <a:ext cx="5334000" cy="38099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Posterior probabilities for area under the receiver operating curve (auROC) by demographic subgroup. auROC ranges from .5 (chance performance) to 1 (perfect performance). Subgroups advantaged in access to substance use treatment and outcomes (male, non-Hispanic White, above poverty, urban or surburban geographic location, and some college education) are depicted in dark purple. Subgroups disadvantaged in access to substance use treatment and outcomes (not male, Hispanic and/or not White, below poverty, small town or rural geographic location, and high school education or less) are depicted in green. Overall model performance across groups is depicted as the dashed grey line.</w:t>
            </w:r>
          </w:p>
          <w:bookmarkEnd w:id="49"/>
        </w:tc>
      </w:tr>
    </w:tbl>
    <w:bookmarkEnd w:id="50"/>
    <w:bookmarkStart w:id="55" w:name="calibration-1"/>
    <w:p>
      <w:pPr>
        <w:pStyle w:val="Heading2"/>
      </w:pPr>
      <w:r>
        <w:t xml:space="preserve">Calibration</w:t>
      </w:r>
    </w:p>
    <w:p>
      <w:pPr>
        <w:pStyle w:val="FirstParagraph"/>
      </w:pPr>
      <w:r>
        <w:t xml:space="preserve">Our raw model predicted probabilities were generally well-calibrated (brier score = 0.015). We attempted to improve calibration with Platt scaling but results were comparable (brier score = 0.015). Calibration plots for the raw uncalibrated probabilities and calibrated probabilities with Platt scaline are presented in</w:t>
      </w:r>
      <w:r>
        <w:t xml:space="preserve"> </w:t>
      </w:r>
      <w:hyperlink w:anchor="fig-2">
        <w:r>
          <w:rPr>
            <w:rStyle w:val="Hyperlink"/>
          </w:rPr>
          <w:t xml:space="preserve">Figure 2</w:t>
        </w:r>
      </w:hyperlink>
      <w:r>
        <w:t xml:space="preserve">. Histograms of predicted probabilities by true lapse outcome are available in the supplement.</w:t>
      </w:r>
    </w:p>
    <w:tbl>
      <w:tblPr>
        <w:tblStyle w:val="Table"/>
        <w:tblW w:type="pct" w:w="5000"/>
        <w:tblLayout w:type="fixed"/>
        <w:tblLook w:firstRow="0" w:lastRow="0" w:firstColumn="0" w:lastColumn="0" w:noHBand="0" w:noVBand="0" w:val="0000"/>
      </w:tblPr>
      <w:tblGrid>
        <w:gridCol w:w="7920"/>
      </w:tblGrid>
      <w:tr>
        <w:tc>
          <w:tcPr/>
          <w:bookmarkStart w:id="54" w:name="fig-2"/>
          <w:p>
            <w:pPr>
              <w:pStyle w:val="Compact"/>
              <w:jc w:val="center"/>
            </w:pPr>
            <w:r>
              <w:drawing>
                <wp:inline>
                  <wp:extent cx="5334000" cy="3809999"/>
                  <wp:effectExtent b="0" l="0" r="0" t="0"/>
                  <wp:docPr descr="" title="" id="52" name="Picture"/>
                  <a:graphic>
                    <a:graphicData uri="http://schemas.openxmlformats.org/drawingml/2006/picture">
                      <pic:pic>
                        <pic:nvPicPr>
                          <pic:cNvPr descr="index_files/figure-docx/notebooks-mak_figures-fig-2-output-1.png" id="53" name="Picture"/>
                          <pic:cNvPicPr>
                            <a:picLocks noChangeArrowheads="1" noChangeAspect="1"/>
                          </pic:cNvPicPr>
                        </pic:nvPicPr>
                        <pic:blipFill>
                          <a:blip r:embed="rId51"/>
                          <a:stretch>
                            <a:fillRect/>
                          </a:stretch>
                        </pic:blipFill>
                        <pic:spPr bwMode="auto">
                          <a:xfrm>
                            <a:off x="0" y="0"/>
                            <a:ext cx="5334000" cy="38099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Calibration plots of raw and calibrated lapse probabilities. Predicted probabilities (x-axis) are binned into deciles. Observed lapse probability (y-axis) represents the proportion of actual lapses observed in each bin. The dashed diagonal represents perfect calibration. Points below the line indicate overestimation and points above the line indicate underestimation. Raw probabilities are depicted as dark purple lines Platt calibrated probabilities are depicted as green dashed lines.</w:t>
            </w:r>
          </w:p>
          <w:bookmarkEnd w:id="54"/>
        </w:tc>
      </w:tr>
    </w:tbl>
    <w:bookmarkEnd w:id="55"/>
    <w:bookmarkStart w:id="65" w:name="feature-importance-1"/>
    <w:p>
      <w:pPr>
        <w:pStyle w:val="Heading2"/>
      </w:pPr>
      <w:r>
        <w:t xml:space="preserve">Feature Importance</w:t>
      </w:r>
    </w:p>
    <w:p>
      <w:pPr>
        <w:pStyle w:val="FirstParagraph"/>
      </w:pPr>
      <w:r>
        <w:t xml:space="preserve">For brevity, we are only displaying the top 30 features, as defined by the 30 largest absolute mean shapley values. In the supplement, we provide full figures of all possible feature categories.</w:t>
      </w:r>
    </w:p>
    <w:tbl>
      <w:tblPr>
        <w:tblStyle w:val="Table"/>
        <w:tblW w:type="pct" w:w="5000"/>
        <w:tblLayout w:type="fixed"/>
        <w:tblLook w:firstRow="0" w:lastRow="0" w:firstColumn="0" w:lastColumn="0" w:noHBand="0" w:noVBand="0" w:val="0000"/>
      </w:tblPr>
      <w:tblGrid>
        <w:gridCol w:w="7920"/>
      </w:tblGrid>
      <w:tr>
        <w:tc>
          <w:tcPr/>
          <w:bookmarkStart w:id="60" w:name="fig-3"/>
          <w:p>
            <w:pPr>
              <w:pStyle w:val="Compact"/>
              <w:jc w:val="center"/>
            </w:pPr>
            <w:bookmarkStart w:id="59" w:name="fig-3"/>
            <w:r>
              <w:drawing>
                <wp:inline>
                  <wp:extent cx="5334000" cy="3333750"/>
                  <wp:effectExtent b="0" l="0" r="0" t="0"/>
                  <wp:docPr descr="" title="" id="57" name="Picture"/>
                  <a:graphic>
                    <a:graphicData uri="http://schemas.openxmlformats.org/drawingml/2006/picture">
                      <pic:pic>
                        <pic:nvPicPr>
                          <pic:cNvPr descr="index_files/figure-docx/notebooks-mak_figures-fig-3-output-1.png" id="58" name="Picture"/>
                          <pic:cNvPicPr>
                            <a:picLocks noChangeArrowheads="1" noChangeAspect="1"/>
                          </pic:cNvPicPr>
                        </pic:nvPicPr>
                        <pic:blipFill>
                          <a:blip r:embed="rId56"/>
                          <a:stretch>
                            <a:fillRect/>
                          </a:stretch>
                        </pic:blipFill>
                        <pic:spPr bwMode="auto">
                          <a:xfrm>
                            <a:off x="0" y="0"/>
                            <a:ext cx="5334000" cy="3333750"/>
                          </a:xfrm>
                          <a:prstGeom prst="rect">
                            <a:avLst/>
                          </a:prstGeom>
                          <a:noFill/>
                          <a:ln w="9525">
                            <a:noFill/>
                            <a:headEnd/>
                            <a:tailEnd/>
                          </a:ln>
                        </pic:spPr>
                      </pic:pic>
                    </a:graphicData>
                  </a:graphic>
                </wp:inline>
              </w:drawing>
            </w:r>
            <w:bookmarkEnd w:id="59"/>
          </w:p>
          <w:p>
            <w:pPr>
              <w:jc w:val="center"/>
            </w:pPr>
            <w:pPr>
              <w:jc w:val="start"/>
              <w:spacing w:before="200"/>
              <w:pStyle w:val="ImageCaption"/>
            </w:pPr>
            <w:r>
              <w:t xml:space="preserve">Figure 3</w:t>
            </w:r>
          </w:p>
          <w:bookmarkEnd w:id="60"/>
        </w:tc>
      </w:tr>
    </w:tbl>
    <w:tbl>
      <w:tblPr>
        <w:tblStyle w:val="Table"/>
        <w:tblW w:type="pct" w:w="5000"/>
        <w:tblLayout w:type="fixed"/>
        <w:tblLook w:firstRow="0" w:lastRow="0" w:firstColumn="0" w:lastColumn="0" w:noHBand="0" w:noVBand="0" w:val="0000"/>
      </w:tblPr>
      <w:tblGrid>
        <w:gridCol w:w="7920"/>
      </w:tblGrid>
      <w:tr>
        <w:tc>
          <w:tcPr/>
          <w:bookmarkStart w:id="64" w:name="fig-4"/>
          <w:p>
            <w:pPr>
              <w:pStyle w:val="Compact"/>
              <w:jc w:val="center"/>
            </w:pPr>
            <w:r>
              <w:drawing>
                <wp:inline>
                  <wp:extent cx="5334000" cy="7467600"/>
                  <wp:effectExtent b="0" l="0" r="0" t="0"/>
                  <wp:docPr descr="" title="" id="62" name="Picture"/>
                  <a:graphic>
                    <a:graphicData uri="http://schemas.openxmlformats.org/drawingml/2006/picture">
                      <pic:pic>
                        <pic:nvPicPr>
                          <pic:cNvPr descr="index_files/figure-docx/notebooks-mak_figures-fig-4-output-1.png" id="63" name="Picture"/>
                          <pic:cNvPicPr>
                            <a:picLocks noChangeArrowheads="1" noChangeAspect="1"/>
                          </pic:cNvPicPr>
                        </pic:nvPicPr>
                        <pic:blipFill>
                          <a:blip r:embed="rId61"/>
                          <a:stretch>
                            <a:fillRect/>
                          </a:stretch>
                        </pic:blipFill>
                        <pic:spPr bwMode="auto">
                          <a:xfrm>
                            <a:off x="0" y="0"/>
                            <a:ext cx="5334000" cy="7467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Feature importance partial dependence plots.</w:t>
            </w:r>
          </w:p>
          <w:bookmarkEnd w:id="64"/>
        </w:tc>
      </w:tr>
    </w:tbl>
    <w:bookmarkEnd w:id="65"/>
    <w:bookmarkEnd w:id="66"/>
    <w:bookmarkStart w:id="67" w:name="discussion"/>
    <w:p>
      <w:pPr>
        <w:pStyle w:val="Heading1"/>
      </w:pPr>
      <w:r>
        <w:t xml:space="preserve">Discussion</w:t>
      </w:r>
    </w:p>
    <w:p>
      <w:pPr>
        <w:numPr>
          <w:ilvl w:val="0"/>
          <w:numId w:val="1009"/>
        </w:numPr>
      </w:pPr>
      <w:r>
        <w:t xml:space="preserve">Discuss contrast between top global features and</w:t>
      </w:r>
      <w:r>
        <w:t xml:space="preserve"> </w:t>
      </w:r>
      <w:r>
        <w:t xml:space="preserve">“actual”</w:t>
      </w:r>
      <w:r>
        <w:t xml:space="preserve"> </w:t>
      </w:r>
      <w:r>
        <w:t xml:space="preserve">important features (i.e., what comes up day to day as being important). What does this mean for how we traditionally conceptualize feature importance?</w:t>
      </w:r>
    </w:p>
    <w:p>
      <w:pPr>
        <w:numPr>
          <w:ilvl w:val="0"/>
          <w:numId w:val="1009"/>
        </w:numPr>
      </w:pPr>
      <w:r>
        <w:t xml:space="preserve">When discussing fairness - we don’t look at age. People over 65 is an important group to look at but they were not in our sample</w:t>
      </w:r>
    </w:p>
    <w:p>
      <w:pPr>
        <w:numPr>
          <w:ilvl w:val="0"/>
          <w:numId w:val="1009"/>
        </w:numPr>
      </w:pPr>
      <w:r>
        <w:t xml:space="preserve">Decision not include misclassification cost analyses: acknowledge that discrimination and calibration don’t equate to clinical utilility. Decision analysis tools, such as net benefit curves could be used to quantify clinical benefit at relevant probability thresholds. Our model is designed to not be used to make decisions about whether or not to treat but to provide model feedback to individuals each day to help them monitor their risk for lapse. Therefore the decision has already been made to always treat. Should these models be used to inform when to deploy more cost-intensive interventions (e.g., communicating risk level to a therapist to initiate contact) these analyses will be important next steps.</w:t>
      </w:r>
    </w:p>
    <w:bookmarkEnd w:id="67"/>
    <w:bookmarkStart w:id="85" w:name="references"/>
    <w:p>
      <w:pPr>
        <w:pStyle w:val="Heading1"/>
      </w:pPr>
      <w:r>
        <w:t xml:space="preserve">References</w:t>
      </w:r>
    </w:p>
    <w:bookmarkStart w:id="84" w:name="refs"/>
    <w:bookmarkStart w:id="69" w:name="ref-chtc"/>
    <w:p>
      <w:pPr>
        <w:pStyle w:val="Bibliography"/>
      </w:pPr>
      <w:r>
        <w:t xml:space="preserve">Center for High Throughput Computing. (2006).</w:t>
      </w:r>
      <w:r>
        <w:t xml:space="preserve"> </w:t>
      </w:r>
      <w:r>
        <w:rPr>
          <w:i/>
          <w:iCs/>
        </w:rPr>
        <w:t xml:space="preserve">Center for high throughput computing</w:t>
      </w:r>
      <w:r>
        <w:t xml:space="preserve">. Center for High Throughput Computing.</w:t>
      </w:r>
      <w:r>
        <w:t xml:space="preserve"> </w:t>
      </w:r>
      <w:hyperlink r:id="rId68">
        <w:r>
          <w:rPr>
            <w:rStyle w:val="Hyperlink"/>
          </w:rPr>
          <w:t xml:space="preserve">https://doi.org/10.21231/GNT1-HW21</w:t>
        </w:r>
      </w:hyperlink>
    </w:p>
    <w:bookmarkEnd w:id="69"/>
    <w:bookmarkStart w:id="71" w:name="ref-collinsTRIPODAIStatementUpdated2024"/>
    <w:p>
      <w:pPr>
        <w:pStyle w:val="Bibliography"/>
      </w:pPr>
      <w:r>
        <w:t xml:space="preserve">Collins, G. S., Moons, K. G. M., Dhiman, P., Riley, R. D., Beam, A. L., Van Calster, B., Ghassemi, M., Liu, X., Reitsma, J. B., Van Smeden, M., Boulesteix, A.-L., Camaradou, J. C., Celi, L. A., Denaxas, S., Denniston, A. K., Glocker, B., Golub, R. M., Harvey, H., Heinze, G., … Logullo, P. (2024).</w:t>
      </w:r>
      <w:r>
        <w:t xml:space="preserve"> </w:t>
      </w:r>
      <w:r>
        <w:t xml:space="preserve">TRIPOD</w:t>
      </w:r>
      <w:r>
        <w:t xml:space="preserve">+</w:t>
      </w:r>
      <w:r>
        <w:t xml:space="preserve">AI</w:t>
      </w:r>
      <w:r>
        <w:t xml:space="preserve"> </w:t>
      </w:r>
      <w:r>
        <w:t xml:space="preserve">statement: Updated guidance for reporting clinical prediction models that use regression or machine learning methods.</w:t>
      </w:r>
      <w:r>
        <w:t xml:space="preserve"> </w:t>
      </w:r>
      <w:r>
        <w:rPr>
          <w:i/>
          <w:iCs/>
        </w:rPr>
        <w:t xml:space="preserve">BMJ</w:t>
      </w:r>
      <w:r>
        <w:t xml:space="preserve">,</w:t>
      </w:r>
      <w:r>
        <w:t xml:space="preserve"> </w:t>
      </w:r>
      <w:r>
        <w:rPr>
          <w:i/>
          <w:iCs/>
        </w:rPr>
        <w:t xml:space="preserve">385</w:t>
      </w:r>
      <w:r>
        <w:t xml:space="preserve">, e078378.</w:t>
      </w:r>
      <w:r>
        <w:t xml:space="preserve"> </w:t>
      </w:r>
      <w:hyperlink r:id="rId70">
        <w:r>
          <w:rPr>
            <w:rStyle w:val="Hyperlink"/>
          </w:rPr>
          <w:t xml:space="preserve">https://doi.org/10.1136/bmj-2023-078378</w:t>
        </w:r>
      </w:hyperlink>
    </w:p>
    <w:bookmarkEnd w:id="71"/>
    <w:bookmarkStart w:id="72" w:name="ref-goodrichRstanarmBayesianApplied2023"/>
    <w:p>
      <w:pPr>
        <w:pStyle w:val="Bibliography"/>
      </w:pPr>
      <w:r>
        <w:t xml:space="preserve">Goodrich, B., Gabry, J., Ali, I., &amp; Brilleman, S. (2023).</w:t>
      </w:r>
      <w:r>
        <w:t xml:space="preserve"> </w:t>
      </w:r>
      <w:r>
        <w:rPr>
          <w:i/>
          <w:iCs/>
        </w:rPr>
        <w:t xml:space="preserve">Rstanarm:</w:t>
      </w:r>
      <w:r>
        <w:rPr>
          <w:i/>
          <w:iCs/>
        </w:rPr>
        <w:t xml:space="preserve"> </w:t>
      </w:r>
      <w:r>
        <w:rPr>
          <w:i/>
          <w:iCs/>
        </w:rPr>
        <w:t xml:space="preserve">Bayesian Applied Regression Modeling</w:t>
      </w:r>
      <w:r>
        <w:rPr>
          <w:i/>
          <w:iCs/>
        </w:rPr>
        <w:t xml:space="preserve"> </w:t>
      </w:r>
      <w:r>
        <w:rPr>
          <w:i/>
          <w:iCs/>
        </w:rPr>
        <w:t xml:space="preserve">via</w:t>
      </w:r>
      <w:r>
        <w:rPr>
          <w:i/>
          <w:iCs/>
        </w:rPr>
        <w:t xml:space="preserve"> </w:t>
      </w:r>
      <w:r>
        <w:rPr>
          <w:i/>
          <w:iCs/>
        </w:rPr>
        <w:t xml:space="preserve">Stan</w:t>
      </w:r>
      <w:r>
        <w:t xml:space="preserve">.</w:t>
      </w:r>
    </w:p>
    <w:bookmarkEnd w:id="72"/>
    <w:bookmarkStart w:id="73" w:name="ref-HowWeDefine"/>
    <w:p>
      <w:pPr>
        <w:pStyle w:val="Bibliography"/>
      </w:pPr>
      <w:r>
        <w:rPr>
          <w:i/>
          <w:iCs/>
        </w:rPr>
        <w:t xml:space="preserve">How</w:t>
      </w:r>
      <w:r>
        <w:rPr>
          <w:i/>
          <w:iCs/>
        </w:rPr>
        <w:t xml:space="preserve"> </w:t>
      </w:r>
      <w:r>
        <w:rPr>
          <w:i/>
          <w:iCs/>
        </w:rPr>
        <w:t xml:space="preserve">We Define Rural</w:t>
      </w:r>
      <w:r>
        <w:rPr>
          <w:i/>
          <w:iCs/>
        </w:rPr>
        <w:t xml:space="preserve"> </w:t>
      </w:r>
      <w:r>
        <w:rPr>
          <w:i/>
          <w:iCs/>
        </w:rPr>
        <w:t xml:space="preserve"> </w:t>
      </w:r>
      <w:r>
        <w:rPr>
          <w:i/>
          <w:iCs/>
        </w:rPr>
        <w:t xml:space="preserve">HRSA</w:t>
      </w:r>
      <w:r>
        <w:t xml:space="preserve">. (n.d.). https://www.hrsa.gov/rural-health/about-us/what-is-rural.</w:t>
      </w:r>
    </w:p>
    <w:bookmarkEnd w:id="73"/>
    <w:bookmarkStart w:id="74" w:name="Xa93a98d1ce255982a5ea923c39451c32053b2a2"/>
    <w:p>
      <w:pPr>
        <w:pStyle w:val="Bibliography"/>
      </w:pPr>
      <w:r>
        <w:t xml:space="preserve">Kuhn, M. (2022).</w:t>
      </w:r>
      <w:r>
        <w:t xml:space="preserve"> </w:t>
      </w:r>
      <w:r>
        <w:rPr>
          <w:i/>
          <w:iCs/>
        </w:rPr>
        <w:t xml:space="preserve">Tidyposterior:</w:t>
      </w:r>
      <w:r>
        <w:rPr>
          <w:i/>
          <w:iCs/>
        </w:rPr>
        <w:t xml:space="preserve"> </w:t>
      </w:r>
      <w:r>
        <w:rPr>
          <w:i/>
          <w:iCs/>
        </w:rPr>
        <w:t xml:space="preserve">Bayesian Analysis</w:t>
      </w:r>
      <w:r>
        <w:rPr>
          <w:i/>
          <w:iCs/>
        </w:rPr>
        <w:t xml:space="preserve"> </w:t>
      </w:r>
      <w:r>
        <w:rPr>
          <w:i/>
          <w:iCs/>
        </w:rPr>
        <w:t xml:space="preserve">to</w:t>
      </w:r>
      <w:r>
        <w:rPr>
          <w:i/>
          <w:iCs/>
        </w:rPr>
        <w:t xml:space="preserve"> </w:t>
      </w:r>
      <w:r>
        <w:rPr>
          <w:i/>
          <w:iCs/>
        </w:rPr>
        <w:t xml:space="preserve">Compare Models</w:t>
      </w:r>
      <w:r>
        <w:rPr>
          <w:i/>
          <w:iCs/>
        </w:rPr>
        <w:t xml:space="preserve"> </w:t>
      </w:r>
      <w:r>
        <w:rPr>
          <w:i/>
          <w:iCs/>
        </w:rPr>
        <w:t xml:space="preserve">using</w:t>
      </w:r>
      <w:r>
        <w:rPr>
          <w:i/>
          <w:iCs/>
        </w:rPr>
        <w:t xml:space="preserve"> </w:t>
      </w:r>
      <w:r>
        <w:rPr>
          <w:i/>
          <w:iCs/>
        </w:rPr>
        <w:t xml:space="preserve">Resampling Statistics</w:t>
      </w:r>
      <w:r>
        <w:t xml:space="preserve">.</w:t>
      </w:r>
    </w:p>
    <w:bookmarkEnd w:id="74"/>
    <w:bookmarkStart w:id="75" w:name="ref-kuhnTidymodelsCollectionPackages2020"/>
    <w:p>
      <w:pPr>
        <w:pStyle w:val="Bibliography"/>
      </w:pPr>
      <w:r>
        <w:t xml:space="preserve">Kuhn, M., &amp; Wickham, H. (2020).</w:t>
      </w:r>
      <w:r>
        <w:t xml:space="preserve"> </w:t>
      </w:r>
      <w:r>
        <w:rPr>
          <w:i/>
          <w:iCs/>
        </w:rPr>
        <w:t xml:space="preserve">Tidymodels: A collection of packages for modeling and machine learning using tidyverse principles</w:t>
      </w:r>
      <w:r>
        <w:t xml:space="preserve">.</w:t>
      </w:r>
    </w:p>
    <w:bookmarkEnd w:id="75"/>
    <w:bookmarkStart w:id="77" w:name="X1f44e09282148d362bdacfce67d6a56b1cf06db"/>
    <w:p>
      <w:pPr>
        <w:pStyle w:val="Bibliography"/>
      </w:pPr>
      <w:r>
        <w:t xml:space="preserve">Moshontz, H., Colmenares, A. J., Fronk, G. E., Sant’Ana, S. J., Wyant, K., Wanta, S. E., Maus, A., Jr, D. H. G., Shah, D., &amp; Curtin, J. J. (2021). Prospective</w:t>
      </w:r>
      <w:r>
        <w:t xml:space="preserve"> </w:t>
      </w:r>
      <w:r>
        <w:t xml:space="preserve">Prediction</w:t>
      </w:r>
      <w:r>
        <w:t xml:space="preserve"> </w:t>
      </w:r>
      <w:r>
        <w:t xml:space="preserve">of</w:t>
      </w:r>
      <w:r>
        <w:t xml:space="preserve"> </w:t>
      </w:r>
      <w:r>
        <w:t xml:space="preserve">Lapses</w:t>
      </w:r>
      <w:r>
        <w:t xml:space="preserve"> </w:t>
      </w:r>
      <w:r>
        <w:t xml:space="preserve">in</w:t>
      </w:r>
      <w:r>
        <w:t xml:space="preserve"> </w:t>
      </w:r>
      <w:r>
        <w:t xml:space="preserve">Opioid Use Disorder</w:t>
      </w:r>
      <w:r>
        <w:t xml:space="preserve">:</w:t>
      </w:r>
      <w:r>
        <w:t xml:space="preserve"> </w:t>
      </w:r>
      <w:r>
        <w:t xml:space="preserve">Protocol</w:t>
      </w:r>
      <w:r>
        <w:t xml:space="preserve"> </w:t>
      </w:r>
      <w:r>
        <w:t xml:space="preserve">for a</w:t>
      </w:r>
      <w:r>
        <w:t xml:space="preserve"> </w:t>
      </w:r>
      <w:r>
        <w:t xml:space="preserve">Personal Sensing Study</w:t>
      </w:r>
      <w:r>
        <w:t xml:space="preserve">.</w:t>
      </w:r>
      <w:r>
        <w:t xml:space="preserve"> </w:t>
      </w:r>
      <w:r>
        <w:rPr>
          <w:i/>
          <w:iCs/>
        </w:rPr>
        <w:t xml:space="preserve">JMIR Research Protocols</w:t>
      </w:r>
      <w:r>
        <w:t xml:space="preserve">,</w:t>
      </w:r>
      <w:r>
        <w:t xml:space="preserve"> </w:t>
      </w:r>
      <w:r>
        <w:rPr>
          <w:i/>
          <w:iCs/>
        </w:rPr>
        <w:t xml:space="preserve">10</w:t>
      </w:r>
      <w:r>
        <w:t xml:space="preserve">(12), e29563.</w:t>
      </w:r>
      <w:r>
        <w:t xml:space="preserve"> </w:t>
      </w:r>
      <w:hyperlink r:id="rId76">
        <w:r>
          <w:rPr>
            <w:rStyle w:val="Hyperlink"/>
          </w:rPr>
          <w:t xml:space="preserve">https://doi.org/10.2196/29563</w:t>
        </w:r>
      </w:hyperlink>
    </w:p>
    <w:bookmarkEnd w:id="77"/>
    <w:bookmarkStart w:id="78" w:name="ref-RuralUrbanCommutingArea"/>
    <w:p>
      <w:pPr>
        <w:pStyle w:val="Bibliography"/>
      </w:pPr>
      <w:r>
        <w:rPr>
          <w:i/>
          <w:iCs/>
        </w:rPr>
        <w:t xml:space="preserve">Rural-</w:t>
      </w:r>
      <w:r>
        <w:rPr>
          <w:i/>
          <w:iCs/>
        </w:rPr>
        <w:t xml:space="preserve">Urban Commuting Area Codes</w:t>
      </w:r>
      <w:r>
        <w:rPr>
          <w:i/>
          <w:iCs/>
        </w:rPr>
        <w:t xml:space="preserve"> </w:t>
      </w:r>
      <w:r>
        <w:rPr>
          <w:i/>
          <w:iCs/>
        </w:rPr>
        <w:t xml:space="preserve">-</w:t>
      </w:r>
      <w:r>
        <w:rPr>
          <w:i/>
          <w:iCs/>
        </w:rPr>
        <w:t xml:space="preserve"> </w:t>
      </w:r>
      <w:r>
        <w:rPr>
          <w:i/>
          <w:iCs/>
        </w:rPr>
        <w:t xml:space="preserve">Users</w:t>
      </w:r>
      <w:r>
        <w:rPr>
          <w:i/>
          <w:iCs/>
        </w:rPr>
        <w:t xml:space="preserve">’</w:t>
      </w:r>
      <w:r>
        <w:rPr>
          <w:i/>
          <w:iCs/>
        </w:rPr>
        <w:t xml:space="preserve"> </w:t>
      </w:r>
      <w:r>
        <w:rPr>
          <w:i/>
          <w:iCs/>
        </w:rPr>
        <w:t xml:space="preserve">Guide</w:t>
      </w:r>
      <w:r>
        <w:rPr>
          <w:i/>
          <w:iCs/>
        </w:rPr>
        <w:t xml:space="preserve"> </w:t>
      </w:r>
      <w:r>
        <w:rPr>
          <w:i/>
          <w:iCs/>
        </w:rPr>
        <w:t xml:space="preserve"> </w:t>
      </w:r>
      <w:r>
        <w:rPr>
          <w:i/>
          <w:iCs/>
        </w:rPr>
        <w:t xml:space="preserve">Economic Research Service</w:t>
      </w:r>
      <w:r>
        <w:t xml:space="preserve">. (n.d.). https://www.ers.usda.gov/data-products/rural-urban-commuting-area-codes/users-guide.</w:t>
      </w:r>
    </w:p>
    <w:bookmarkEnd w:id="78"/>
    <w:bookmarkStart w:id="80" w:name="X6ee708186a5d814f6044b48499818110320664f"/>
    <w:p>
      <w:pPr>
        <w:pStyle w:val="Bibliography"/>
      </w:pPr>
      <w:r>
        <w:t xml:space="preserve">Vandewiele, G., Dehaene, I., Kovács, G., Sterckx, L., Janssens, O., Ongenae, F., De Backere, F., De Turck, F., Roelens, K., Decruyenaere, J., Van Hoecke, S., &amp; Demeester, T. (2021). Overly optimistic prediction results on imbalanced data: A case study of flaws and benefits when applying over-sampling.</w:t>
      </w:r>
      <w:r>
        <w:t xml:space="preserve"> </w:t>
      </w:r>
      <w:r>
        <w:rPr>
          <w:i/>
          <w:iCs/>
        </w:rPr>
        <w:t xml:space="preserve">Artificial Intelligence in Medicine</w:t>
      </w:r>
      <w:r>
        <w:t xml:space="preserve">,</w:t>
      </w:r>
      <w:r>
        <w:t xml:space="preserve"> </w:t>
      </w:r>
      <w:r>
        <w:rPr>
          <w:i/>
          <w:iCs/>
        </w:rPr>
        <w:t xml:space="preserve">111</w:t>
      </w:r>
      <w:r>
        <w:t xml:space="preserve">, 101987.</w:t>
      </w:r>
      <w:r>
        <w:t xml:space="preserve"> </w:t>
      </w:r>
      <w:hyperlink r:id="rId79">
        <w:r>
          <w:rPr>
            <w:rStyle w:val="Hyperlink"/>
          </w:rPr>
          <w:t xml:space="preserve">https://doi.org/10.1016/j.artmed.2020.101987</w:t>
        </w:r>
      </w:hyperlink>
    </w:p>
    <w:bookmarkEnd w:id="80"/>
    <w:bookmarkStart w:id="81" w:name="Xd3cf5dced997940b3810fae8f5a19eca304449d"/>
    <w:p>
      <w:pPr>
        <w:pStyle w:val="Bibliography"/>
      </w:pPr>
      <w:r>
        <w:t xml:space="preserve">Wyant, K., Fronk, G. E., Yu, C., Punturieri, C. E., &amp; Curtin, J. J. (under review).</w:t>
      </w:r>
      <w:r>
        <w:t xml:space="preserve"> </w:t>
      </w:r>
      <w:r>
        <w:rPr>
          <w:i/>
          <w:iCs/>
        </w:rPr>
        <w:t xml:space="preserve">Forecasting</w:t>
      </w:r>
      <w:r>
        <w:rPr>
          <w:i/>
          <w:iCs/>
        </w:rPr>
        <w:t xml:space="preserve"> </w:t>
      </w:r>
      <w:r>
        <w:rPr>
          <w:i/>
          <w:iCs/>
        </w:rPr>
        <w:t xml:space="preserve">Risk</w:t>
      </w:r>
      <w:r>
        <w:rPr>
          <w:i/>
          <w:iCs/>
        </w:rPr>
        <w:t xml:space="preserve"> </w:t>
      </w:r>
      <w:r>
        <w:rPr>
          <w:i/>
          <w:iCs/>
        </w:rPr>
        <w:t xml:space="preserve">of</w:t>
      </w:r>
      <w:r>
        <w:rPr>
          <w:i/>
          <w:iCs/>
        </w:rPr>
        <w:t xml:space="preserve"> </w:t>
      </w:r>
      <w:r>
        <w:rPr>
          <w:i/>
          <w:iCs/>
        </w:rPr>
        <w:t xml:space="preserve">Alcohol Lapse</w:t>
      </w:r>
      <w:r>
        <w:rPr>
          <w:i/>
          <w:iCs/>
        </w:rPr>
        <w:t xml:space="preserve"> </w:t>
      </w:r>
      <w:r>
        <w:rPr>
          <w:i/>
          <w:iCs/>
        </w:rPr>
        <w:t xml:space="preserve">up to</w:t>
      </w:r>
      <w:r>
        <w:rPr>
          <w:i/>
          <w:iCs/>
        </w:rPr>
        <w:t xml:space="preserve"> </w:t>
      </w:r>
      <w:r>
        <w:rPr>
          <w:i/>
          <w:iCs/>
        </w:rPr>
        <w:t xml:space="preserve">Two Weeks</w:t>
      </w:r>
      <w:r>
        <w:rPr>
          <w:i/>
          <w:iCs/>
        </w:rPr>
        <w:t xml:space="preserve"> </w:t>
      </w:r>
      <w:r>
        <w:rPr>
          <w:i/>
          <w:iCs/>
        </w:rPr>
        <w:t xml:space="preserve">in</w:t>
      </w:r>
      <w:r>
        <w:rPr>
          <w:i/>
          <w:iCs/>
        </w:rPr>
        <w:t xml:space="preserve"> </w:t>
      </w:r>
      <w:r>
        <w:rPr>
          <w:i/>
          <w:iCs/>
        </w:rPr>
        <w:t xml:space="preserve">Advance</w:t>
      </w:r>
      <w:r>
        <w:rPr>
          <w:i/>
          <w:iCs/>
        </w:rPr>
        <w:t xml:space="preserve"> </w:t>
      </w:r>
      <w:r>
        <w:rPr>
          <w:i/>
          <w:iCs/>
        </w:rPr>
        <w:t xml:space="preserve">using</w:t>
      </w:r>
      <w:r>
        <w:rPr>
          <w:i/>
          <w:iCs/>
        </w:rPr>
        <w:t xml:space="preserve"> </w:t>
      </w:r>
      <w:r>
        <w:rPr>
          <w:i/>
          <w:iCs/>
        </w:rPr>
        <w:t xml:space="preserve">Time-lagged Machine Learning Models</w:t>
      </w:r>
      <w:r>
        <w:t xml:space="preserve">.</w:t>
      </w:r>
    </w:p>
    <w:bookmarkEnd w:id="81"/>
    <w:bookmarkStart w:id="83" w:name="ref-wyantMachineLearningModels2024"/>
    <w:p>
      <w:pPr>
        <w:pStyle w:val="Bibliography"/>
      </w:pPr>
      <w:r>
        <w:t xml:space="preserve">Wyant, K., Sant’Ana, S. J. K., Fronk, G., &amp; Curtin, J. J. (2024). Machine learning models for temporally precise lapse prediction in alcohol use disorder.</w:t>
      </w:r>
      <w:r>
        <w:t xml:space="preserve"> </w:t>
      </w:r>
      <w:r>
        <w:rPr>
          <w:i/>
          <w:iCs/>
        </w:rPr>
        <w:t xml:space="preserve">Psychopathology and Clinical Science</w:t>
      </w:r>
      <w:r>
        <w:t xml:space="preserve">.</w:t>
      </w:r>
      <w:r>
        <w:t xml:space="preserve"> </w:t>
      </w:r>
      <w:hyperlink r:id="rId82">
        <w:r>
          <w:rPr>
            <w:rStyle w:val="Hyperlink"/>
          </w:rPr>
          <w:t xml:space="preserve">https://doi.org/10.31234/osf.io/cgsf7</w:t>
        </w:r>
      </w:hyperlink>
    </w:p>
    <w:bookmarkEnd w:id="83"/>
    <w:bookmarkEnd w:id="84"/>
    <w:bookmarkEnd w:id="8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0">
    <w:p>
      <w:pPr>
        <w:pStyle w:val="FootnoteText"/>
      </w:pPr>
      <w:r>
        <w:rPr>
          <w:rStyle w:val="FootnoteReference"/>
        </w:rPr>
        <w:footnoteRef/>
      </w:r>
      <w:r>
        <w:t xml:space="preserve"> </w:t>
      </w:r>
      <w:r>
        <w:t xml:space="preserve">One participant completed only 3 EMA prompts over 88 days and 10 participants had fewer than 20 geolocation points per day on average.</w:t>
      </w:r>
    </w:p>
  </w:footnote>
  <w:footnote w:id="41">
    <w:p>
      <w:pPr>
        <w:pStyle w:val="FootnoteText"/>
      </w:pPr>
      <w:r>
        <w:rPr>
          <w:rStyle w:val="FootnoteReference"/>
        </w:rPr>
        <w:footnoteRef/>
      </w:r>
      <w:r>
        <w:t xml:space="preserve"> </w:t>
      </w:r>
      <w:r>
        <w:t xml:space="preserve">We required participants have at least two contextualized locations other than their home.</w:t>
      </w:r>
    </w:p>
  </w:footnote>
  <w:footnote w:id="45">
    <w:p>
      <w:pPr>
        <w:pStyle w:val="FootnoteText"/>
      </w:pPr>
      <w:r>
        <w:rPr>
          <w:rStyle w:val="FootnoteReference"/>
        </w:rPr>
        <w:footnoteRef/>
      </w:r>
      <w:r>
        <w:t xml:space="preserve"> </w:t>
      </w:r>
      <w:r>
        <w:t xml:space="preserve">The best model configuration used 1:4 upsampling of the minority class and the following hyperparameter values: learning rate = .1, tree depth = 1, mtry = 50.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6" Target="media/rId46.png" /><Relationship Type="http://schemas.openxmlformats.org/officeDocument/2006/relationships/image" Id="rId51" Target="media/rId51.png" /><Relationship Type="http://schemas.openxmlformats.org/officeDocument/2006/relationships/image" Id="rId56" Target="media/rId56.png" /><Relationship Type="http://schemas.openxmlformats.org/officeDocument/2006/relationships/image" Id="rId61" Target="media/rId61.png" /><Relationship Type="http://schemas.openxmlformats.org/officeDocument/2006/relationships/hyperlink" Id="rId79" Target="https://doi.org/10.1016/j.artmed.2020.101987" TargetMode="External" /><Relationship Type="http://schemas.openxmlformats.org/officeDocument/2006/relationships/hyperlink" Id="rId70" Target="https://doi.org/10.1136/bmj-2023-078378" TargetMode="External" /><Relationship Type="http://schemas.openxmlformats.org/officeDocument/2006/relationships/hyperlink" Id="rId68" Target="https://doi.org/10.21231/GNT1-HW21" TargetMode="External" /><Relationship Type="http://schemas.openxmlformats.org/officeDocument/2006/relationships/hyperlink" Id="rId76" Target="https://doi.org/10.2196/29563" TargetMode="External" /><Relationship Type="http://schemas.openxmlformats.org/officeDocument/2006/relationships/hyperlink" Id="rId82" Target="https://doi.org/10.31234/osf.io/cgsf7" TargetMode="External" /><Relationship Type="http://schemas.openxmlformats.org/officeDocument/2006/relationships/hyperlink" Id="rId22" Target="https://jjcurtin.github.io/study_risk2/" TargetMode="External" /><Relationship Type="http://schemas.openxmlformats.org/officeDocument/2006/relationships/hyperlink" Id="rId21" Target="https://osf.io/zvm7s/overview" TargetMode="External" /></Relationships>
</file>

<file path=word/_rels/footnotes.xml.rels><?xml version="1.0" encoding="UTF-8"?><Relationships xmlns="http://schemas.openxmlformats.org/package/2006/relationships"><Relationship Type="http://schemas.openxmlformats.org/officeDocument/2006/relationships/hyperlink" Id="rId79" Target="https://doi.org/10.1016/j.artmed.2020.101987" TargetMode="External" /><Relationship Type="http://schemas.openxmlformats.org/officeDocument/2006/relationships/hyperlink" Id="rId70" Target="https://doi.org/10.1136/bmj-2023-078378" TargetMode="External" /><Relationship Type="http://schemas.openxmlformats.org/officeDocument/2006/relationships/hyperlink" Id="rId68" Target="https://doi.org/10.21231/GNT1-HW21" TargetMode="External" /><Relationship Type="http://schemas.openxmlformats.org/officeDocument/2006/relationships/hyperlink" Id="rId76" Target="https://doi.org/10.2196/29563" TargetMode="External" /><Relationship Type="http://schemas.openxmlformats.org/officeDocument/2006/relationships/hyperlink" Id="rId82" Target="https://doi.org/10.31234/osf.io/cgsf7" TargetMode="External" /><Relationship Type="http://schemas.openxmlformats.org/officeDocument/2006/relationships/hyperlink" Id="rId22" Target="https://jjcurtin.github.io/study_risk2/" TargetMode="External" /><Relationship Type="http://schemas.openxmlformats.org/officeDocument/2006/relationships/hyperlink" Id="rId21" Target="https://osf.io/zvm7s/overview"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Dynamic lapse risk prediction in a national sample of individuals with opioid use disorder using personal sensing and machine learning</dc:title>
  <dc:creator>Kendra Wyant; John J. Curtin</dc:creator>
  <cp:keywords>Substance use disorders, Precision mental health</cp:keywords>
  <dcterms:created xsi:type="dcterms:W3CDTF">2025-12-30T01:27:57Z</dcterms:created>
  <dcterms:modified xsi:type="dcterms:W3CDTF">2025-12-30T01:27:57Z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Enter abstract here.</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sl">
    <vt:lpwstr>https://raw.githubusercontent.com/citation-style-language/styles/master/apa.csl</vt:lpwstr>
  </property>
  <property fmtid="{D5CDD505-2E9C-101B-9397-08002B2CF9AE}" pid="10" name="date">
    <vt:lpwstr>2025-12-29</vt:lpwstr>
  </property>
  <property fmtid="{D5CDD505-2E9C-101B-9397-08002B2CF9AE}" pid="11" name="editor_options">
    <vt:lpwstr/>
  </property>
  <property fmtid="{D5CDD505-2E9C-101B-9397-08002B2CF9AE}" pid="12" name="financial-support">
    <vt:lpwstr>This research was supported by a grant from the National Institute on Drug Abuse (NIDA; R01 DA047315 to John J. Curtin).</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toc-title">
    <vt:lpwstr>Table of contents</vt:lpwstr>
  </property>
</Properties>
</file>